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02" w:rsidRPr="00972AFA" w:rsidRDefault="004C3802" w:rsidP="00F21C22">
      <w:pPr>
        <w:jc w:val="center"/>
        <w:rPr>
          <w:b/>
          <w:bCs/>
          <w:color w:val="08446E"/>
          <w:sz w:val="32"/>
          <w:szCs w:val="32"/>
        </w:rPr>
      </w:pPr>
      <w:r w:rsidRPr="00972AFA">
        <w:rPr>
          <w:b/>
          <w:bCs/>
          <w:color w:val="08446E"/>
          <w:sz w:val="32"/>
          <w:szCs w:val="32"/>
        </w:rPr>
        <w:t>Bringing Science, Technology, Engineering and Mathematics (STEM) curricula to life through public engagement</w:t>
      </w:r>
    </w:p>
    <w:p w:rsidR="004C3802" w:rsidRDefault="004C3802" w:rsidP="00F21C22">
      <w:pPr>
        <w:pStyle w:val="NoSpacing"/>
        <w:jc w:val="center"/>
      </w:pPr>
      <w:r>
        <w:t>1</w:t>
      </w:r>
      <w:r w:rsidRPr="00615B75">
        <w:rPr>
          <w:vertAlign w:val="superscript"/>
        </w:rPr>
        <w:t>st</w:t>
      </w:r>
      <w:r>
        <w:t xml:space="preserve"> March 2012</w:t>
      </w:r>
    </w:p>
    <w:p w:rsidR="004C3802" w:rsidRPr="006E0C42" w:rsidRDefault="004C3802" w:rsidP="00F21C22">
      <w:pPr>
        <w:jc w:val="center"/>
        <w:rPr>
          <w:b/>
        </w:rPr>
      </w:pPr>
      <w:smartTag w:uri="urn:schemas-microsoft-com:office:smarttags" w:element="place">
        <w:smartTag w:uri="urn:schemas-microsoft-com:office:smarttags" w:element="PlaceName">
          <w:r w:rsidRPr="006E0C42">
            <w:rPr>
              <w:b/>
            </w:rPr>
            <w:t>Aston</w:t>
          </w:r>
        </w:smartTag>
        <w:r w:rsidRPr="006E0C42">
          <w:rPr>
            <w:b/>
          </w:rPr>
          <w:t xml:space="preserve"> </w:t>
        </w:r>
        <w:smartTag w:uri="urn:schemas-microsoft-com:office:smarttags" w:element="PlaceName">
          <w:r w:rsidRPr="006E0C42">
            <w:rPr>
              <w:b/>
            </w:rPr>
            <w:t>Business</w:t>
          </w:r>
        </w:smartTag>
        <w:r w:rsidRPr="006E0C42">
          <w:rPr>
            <w:b/>
          </w:rPr>
          <w:t xml:space="preserve"> </w:t>
        </w:r>
        <w:smartTag w:uri="urn:schemas-microsoft-com:office:smarttags" w:element="PlaceType">
          <w:r w:rsidRPr="006E0C42">
            <w:rPr>
              <w:b/>
            </w:rPr>
            <w:t>School</w:t>
          </w:r>
        </w:smartTag>
      </w:smartTag>
      <w:r w:rsidRPr="006E0C42">
        <w:rPr>
          <w:b/>
        </w:rPr>
        <w:t xml:space="preserve"> Conference Centre &amp; Hotel </w:t>
      </w:r>
    </w:p>
    <w:p w:rsidR="004C3802" w:rsidRPr="00415B9C" w:rsidRDefault="004C3802" w:rsidP="00F21C22">
      <w:pPr>
        <w:jc w:val="center"/>
        <w:rPr>
          <w:i/>
        </w:rPr>
      </w:pPr>
      <w:r w:rsidRPr="00415B9C">
        <w:rPr>
          <w:i/>
        </w:rPr>
        <w:t>“Embedding engagement as part of the curriculum can help students to see the difference that their subject can make to others.  It can also help students to learn in new ways, and develop into graduates who know how to make a positive contribution to society”.</w:t>
      </w:r>
    </w:p>
    <w:p w:rsidR="004C3802" w:rsidRPr="00415B9C" w:rsidRDefault="004C3802" w:rsidP="00E253D5">
      <w:pPr>
        <w:pStyle w:val="NoSpacing"/>
        <w:jc w:val="right"/>
        <w:rPr>
          <w:i/>
        </w:rPr>
      </w:pPr>
      <w:r>
        <w:rPr>
          <w:b/>
        </w:rPr>
        <w:t xml:space="preserve">Danielle </w:t>
      </w:r>
      <w:proofErr w:type="spellStart"/>
      <w:r>
        <w:rPr>
          <w:b/>
        </w:rPr>
        <w:t>Grufferty</w:t>
      </w:r>
      <w:proofErr w:type="spellEnd"/>
      <w:r>
        <w:rPr>
          <w:b/>
        </w:rPr>
        <w:t xml:space="preserve">: </w:t>
      </w:r>
      <w:r w:rsidRPr="00E253D5">
        <w:rPr>
          <w:b/>
          <w:i/>
        </w:rPr>
        <w:t>Vice President Society &amp; Citizenship, NUS</w:t>
      </w:r>
    </w:p>
    <w:p w:rsidR="004C3802" w:rsidRDefault="004C3802" w:rsidP="00F21C22">
      <w:pPr>
        <w:jc w:val="both"/>
      </w:pPr>
    </w:p>
    <w:p w:rsidR="004C3802" w:rsidRDefault="004C3802" w:rsidP="00F21C22">
      <w:pPr>
        <w:jc w:val="both"/>
      </w:pPr>
      <w:r>
        <w:t>There is increasing recognition – from students, employers and academic staff – that undergraduates need to continually develop their capacity to communicate effectively with others, to support the learning of others, work across cultures and institutions, and operate in complex inter-connected environments.  Evidence suggests that embedding public engagement as part of a degree can help to develop these attributes whilst enriching student learning, developing skills that are desired by employers and helping to develop students’ civic and social responsibility.</w:t>
      </w:r>
    </w:p>
    <w:p w:rsidR="004C3802" w:rsidRDefault="004C3802" w:rsidP="00F21C22">
      <w:pPr>
        <w:jc w:val="both"/>
      </w:pPr>
      <w:r>
        <w:t>Join us for this one day workshop exploring the role of public engagement within the STEM curriculum, and its impact on students, on universities and on the public.  This event will provide training and guidance on models of community-engaged learning and explore pedagogic and assessment issues. We aim to cover the following areas:</w:t>
      </w:r>
    </w:p>
    <w:p w:rsidR="004C3802" w:rsidRDefault="004C3802" w:rsidP="00F21C22">
      <w:pPr>
        <w:pStyle w:val="ListParagraph"/>
        <w:numPr>
          <w:ilvl w:val="0"/>
          <w:numId w:val="3"/>
        </w:numPr>
        <w:jc w:val="both"/>
      </w:pPr>
      <w:r>
        <w:t xml:space="preserve">Evidence of the impact created by embedding public engagement in the undergraduate curriculum </w:t>
      </w:r>
    </w:p>
    <w:p w:rsidR="004C3802" w:rsidRDefault="004C3802" w:rsidP="00F21C22">
      <w:pPr>
        <w:pStyle w:val="ListParagraph"/>
        <w:numPr>
          <w:ilvl w:val="0"/>
          <w:numId w:val="3"/>
        </w:numPr>
        <w:jc w:val="both"/>
      </w:pPr>
      <w:r>
        <w:t>Models of embedding engagement in the STEM curriculum</w:t>
      </w:r>
    </w:p>
    <w:p w:rsidR="004C3802" w:rsidRDefault="004C3802" w:rsidP="00F21C22">
      <w:pPr>
        <w:pStyle w:val="ListParagraph"/>
        <w:numPr>
          <w:ilvl w:val="0"/>
          <w:numId w:val="3"/>
        </w:numPr>
        <w:jc w:val="both"/>
      </w:pPr>
      <w:r>
        <w:t>How to assess student learning from public engagement</w:t>
      </w:r>
    </w:p>
    <w:p w:rsidR="004C3802" w:rsidRDefault="004C3802" w:rsidP="00F21C22">
      <w:pPr>
        <w:pStyle w:val="NoSpacing"/>
      </w:pPr>
    </w:p>
    <w:p w:rsidR="004C3802" w:rsidRDefault="004C3802" w:rsidP="00F21C22">
      <w:pPr>
        <w:jc w:val="both"/>
      </w:pPr>
      <w:r>
        <w:t>We invite academics, students, community partners and practitioners from all disciplines and areas to join us and cont</w:t>
      </w:r>
      <w:r w:rsidR="00F057FB">
        <w:t>ribute discussions.  Up to £4500</w:t>
      </w:r>
      <w:r>
        <w:t xml:space="preserve"> in funding will be provided following the workshop for academics and practitioners to develop their practice in STEM disciplines.</w:t>
      </w:r>
    </w:p>
    <w:p w:rsidR="004C3802" w:rsidRDefault="004C3802" w:rsidP="00F21C22">
      <w:pPr>
        <w:jc w:val="both"/>
      </w:pPr>
      <w:r>
        <w:t>Keynote speakers include:</w:t>
      </w:r>
      <w:bookmarkStart w:id="0" w:name="_GoBack"/>
      <w:bookmarkEnd w:id="0"/>
    </w:p>
    <w:p w:rsidR="004C3802" w:rsidRDefault="004C3802" w:rsidP="00F21C22">
      <w:pPr>
        <w:pStyle w:val="ListParagraph"/>
        <w:numPr>
          <w:ilvl w:val="0"/>
          <w:numId w:val="4"/>
        </w:numPr>
      </w:pPr>
      <w:r w:rsidRPr="00DD28CC">
        <w:rPr>
          <w:b/>
        </w:rPr>
        <w:t xml:space="preserve">Danielle </w:t>
      </w:r>
      <w:proofErr w:type="spellStart"/>
      <w:r w:rsidRPr="00DD28CC">
        <w:rPr>
          <w:b/>
        </w:rPr>
        <w:t>Grufferty</w:t>
      </w:r>
      <w:proofErr w:type="spellEnd"/>
      <w:r>
        <w:t>, Vice President Society &amp; Citizenship, NUS</w:t>
      </w:r>
    </w:p>
    <w:p w:rsidR="004C3802" w:rsidRDefault="004C3802" w:rsidP="00F21C22">
      <w:pPr>
        <w:pStyle w:val="ListParagraph"/>
        <w:numPr>
          <w:ilvl w:val="0"/>
          <w:numId w:val="4"/>
        </w:numPr>
      </w:pPr>
      <w:r w:rsidRPr="00DD28CC">
        <w:rPr>
          <w:b/>
        </w:rPr>
        <w:t>Ivan Moore</w:t>
      </w:r>
      <w:r>
        <w:t xml:space="preserve">, HE STEM Curriculum Advisor for the Royal </w:t>
      </w:r>
      <w:smartTag w:uri="urn:schemas-microsoft-com:office:smarttags" w:element="PostalCode">
        <w:smartTag w:uri="urn:schemas-microsoft-com:office:smarttags" w:element="PostalCode">
          <w:r>
            <w:t>Academy</w:t>
          </w:r>
        </w:smartTag>
        <w:r>
          <w:t xml:space="preserve"> of </w:t>
        </w:r>
        <w:smartTag w:uri="urn:schemas-microsoft-com:office:smarttags" w:element="PostalCode">
          <w:r>
            <w:t>Engineering</w:t>
          </w:r>
        </w:smartTag>
      </w:smartTag>
    </w:p>
    <w:p w:rsidR="004C3802" w:rsidRPr="00DD28CC" w:rsidRDefault="004C3802" w:rsidP="00F21C22">
      <w:pPr>
        <w:pStyle w:val="ListParagraph"/>
        <w:numPr>
          <w:ilvl w:val="0"/>
          <w:numId w:val="4"/>
        </w:numPr>
        <w:rPr>
          <w:rStyle w:val="Emphasis"/>
          <w:i w:val="0"/>
          <w:iCs w:val="0"/>
        </w:rPr>
      </w:pPr>
      <w:r w:rsidRPr="00DD28CC">
        <w:rPr>
          <w:b/>
        </w:rPr>
        <w:t>Paul Taylor</w:t>
      </w:r>
      <w:r>
        <w:t xml:space="preserve">, </w:t>
      </w:r>
      <w:r w:rsidRPr="00DD28CC">
        <w:rPr>
          <w:rStyle w:val="Emphasis"/>
          <w:i w:val="0"/>
        </w:rPr>
        <w:t xml:space="preserve">Associate Professor and director of Reinvention Centre, </w:t>
      </w:r>
      <w:smartTag w:uri="urn:schemas-microsoft-com:office:smarttags" w:element="PostalCode">
        <w:smartTag w:uri="urn:schemas-microsoft-com:office:smarttags" w:element="PostalCode">
          <w:r w:rsidRPr="00DD28CC">
            <w:rPr>
              <w:rStyle w:val="Emphasis"/>
              <w:i w:val="0"/>
            </w:rPr>
            <w:t>Warwick</w:t>
          </w:r>
        </w:smartTag>
        <w:r w:rsidRPr="00DD28CC">
          <w:rPr>
            <w:rStyle w:val="Emphasis"/>
            <w:i w:val="0"/>
          </w:rPr>
          <w:t xml:space="preserve"> </w:t>
        </w:r>
        <w:smartTag w:uri="urn:schemas-microsoft-com:office:smarttags" w:element="PostalCode">
          <w:r w:rsidRPr="00DD28CC">
            <w:rPr>
              <w:rStyle w:val="Emphasis"/>
              <w:i w:val="0"/>
            </w:rPr>
            <w:t>University</w:t>
          </w:r>
        </w:smartTag>
      </w:smartTag>
    </w:p>
    <w:p w:rsidR="004C3802" w:rsidRDefault="004C3802" w:rsidP="00F21C22">
      <w:pPr>
        <w:pStyle w:val="ListParagraph"/>
        <w:numPr>
          <w:ilvl w:val="0"/>
          <w:numId w:val="4"/>
        </w:numPr>
      </w:pPr>
      <w:r w:rsidRPr="00930E77">
        <w:rPr>
          <w:b/>
        </w:rPr>
        <w:t xml:space="preserve">Dr Angela </w:t>
      </w:r>
      <w:proofErr w:type="spellStart"/>
      <w:r w:rsidRPr="00930E77">
        <w:rPr>
          <w:b/>
        </w:rPr>
        <w:t>Piccini</w:t>
      </w:r>
      <w:proofErr w:type="spellEnd"/>
      <w:r>
        <w:t xml:space="preserve">, </w:t>
      </w:r>
      <w:r w:rsidRPr="006844B9">
        <w:t>Senior Lecturer in Screen Media</w:t>
      </w:r>
      <w:r>
        <w:t xml:space="preserve">, </w:t>
      </w:r>
      <w:smartTag w:uri="urn:schemas-microsoft-com:office:smarttags" w:element="PostalCode">
        <w:smartTag w:uri="urn:schemas-microsoft-com:office:smarttags" w:element="PostalCode">
          <w:r>
            <w:t>University</w:t>
          </w:r>
        </w:smartTag>
        <w:r>
          <w:t xml:space="preserve"> of </w:t>
        </w:r>
        <w:smartTag w:uri="urn:schemas-microsoft-com:office:smarttags" w:element="PostalCode">
          <w:r>
            <w:t>Bristol</w:t>
          </w:r>
        </w:smartTag>
      </w:smartTag>
    </w:p>
    <w:p w:rsidR="004C3802" w:rsidRDefault="004C3802" w:rsidP="00F21C22">
      <w:pPr>
        <w:pStyle w:val="NoSpacing"/>
      </w:pPr>
    </w:p>
    <w:p w:rsidR="004C3802" w:rsidRDefault="004C3802" w:rsidP="00F21C22">
      <w:pPr>
        <w:jc w:val="both"/>
      </w:pPr>
      <w:r>
        <w:t xml:space="preserve">This event is a joint collaboration between the National HE STEM Programme and the National Co-ordinating Centre for Public Engagement.  </w:t>
      </w:r>
    </w:p>
    <w:p w:rsidR="004C3802" w:rsidRDefault="004C3802" w:rsidP="001C2A18">
      <w:pPr>
        <w:jc w:val="both"/>
        <w:rPr>
          <w:rStyle w:val="Strong"/>
        </w:rPr>
      </w:pPr>
      <w:r>
        <w:t xml:space="preserve">To register log onto: </w:t>
      </w:r>
      <w:hyperlink r:id="rId8" w:history="1">
        <w:r>
          <w:rPr>
            <w:rStyle w:val="Hyperlink"/>
            <w:rFonts w:ascii="Arial" w:hAnsi="Arial" w:cs="Arial"/>
          </w:rPr>
          <w:t>https://www.survey.bris.ac.uk/nccpe/stem-curricula</w:t>
        </w:r>
      </w:hyperlink>
    </w:p>
    <w:p w:rsidR="004C3802" w:rsidRDefault="004C3802" w:rsidP="001C2A18">
      <w:pPr>
        <w:jc w:val="both"/>
        <w:rPr>
          <w:b/>
          <w:bCs/>
          <w:color w:val="08446E"/>
          <w:sz w:val="32"/>
          <w:szCs w:val="32"/>
        </w:rPr>
      </w:pPr>
      <w:r>
        <w:rPr>
          <w:b/>
          <w:bCs/>
          <w:color w:val="08446E"/>
          <w:sz w:val="32"/>
          <w:szCs w:val="32"/>
        </w:rPr>
        <w:br w:type="page"/>
      </w:r>
    </w:p>
    <w:p w:rsidR="004C3802" w:rsidRDefault="004C3802" w:rsidP="00972AFA">
      <w:r>
        <w:rPr>
          <w:b/>
          <w:bCs/>
          <w:color w:val="08446E"/>
          <w:sz w:val="32"/>
          <w:szCs w:val="32"/>
        </w:rPr>
        <w:t>Agenda</w:t>
      </w:r>
    </w:p>
    <w:tbl>
      <w:tblPr>
        <w:tblW w:w="4644" w:type="pct"/>
        <w:tblInd w:w="392"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A0" w:firstRow="1" w:lastRow="0" w:firstColumn="1" w:lastColumn="0" w:noHBand="0" w:noVBand="0"/>
      </w:tblPr>
      <w:tblGrid>
        <w:gridCol w:w="3166"/>
        <w:gridCol w:w="3560"/>
        <w:gridCol w:w="3195"/>
      </w:tblGrid>
      <w:tr w:rsidR="004C3802" w:rsidRPr="00774124" w:rsidTr="00774124">
        <w:tc>
          <w:tcPr>
            <w:tcW w:w="1596" w:type="pct"/>
            <w:tcBorders>
              <w:top w:val="single" w:sz="2" w:space="0" w:color="auto"/>
            </w:tcBorders>
            <w:shd w:val="clear" w:color="auto" w:fill="DBE5F1"/>
          </w:tcPr>
          <w:p w:rsidR="004C3802" w:rsidRPr="00774124" w:rsidRDefault="004C3802" w:rsidP="00774124">
            <w:pPr>
              <w:spacing w:after="0" w:line="240" w:lineRule="auto"/>
              <w:rPr>
                <w:b/>
              </w:rPr>
            </w:pPr>
            <w:r w:rsidRPr="00774124">
              <w:rPr>
                <w:b/>
              </w:rPr>
              <w:t>9.15 – 10.00</w:t>
            </w:r>
          </w:p>
        </w:tc>
        <w:tc>
          <w:tcPr>
            <w:tcW w:w="3404" w:type="pct"/>
            <w:gridSpan w:val="2"/>
            <w:tcBorders>
              <w:top w:val="single" w:sz="2" w:space="0" w:color="auto"/>
            </w:tcBorders>
            <w:shd w:val="clear" w:color="auto" w:fill="DBE5F1"/>
          </w:tcPr>
          <w:p w:rsidR="004C3802" w:rsidRPr="00774124" w:rsidRDefault="004C3802" w:rsidP="00774124">
            <w:pPr>
              <w:spacing w:after="0" w:line="240" w:lineRule="auto"/>
              <w:rPr>
                <w:b/>
              </w:rPr>
            </w:pPr>
            <w:r w:rsidRPr="00774124">
              <w:rPr>
                <w:b/>
              </w:rPr>
              <w:t>Registration</w:t>
            </w:r>
          </w:p>
        </w:tc>
      </w:tr>
      <w:tr w:rsidR="004C3802" w:rsidRPr="00774124" w:rsidTr="00774124">
        <w:tc>
          <w:tcPr>
            <w:tcW w:w="1596" w:type="pct"/>
            <w:tcBorders>
              <w:bottom w:val="single" w:sz="2" w:space="0" w:color="auto"/>
            </w:tcBorders>
            <w:shd w:val="clear" w:color="auto" w:fill="B8CCE4"/>
          </w:tcPr>
          <w:p w:rsidR="004C3802" w:rsidRPr="00774124" w:rsidRDefault="004C3802" w:rsidP="00774124">
            <w:pPr>
              <w:spacing w:after="0" w:line="240" w:lineRule="auto"/>
              <w:rPr>
                <w:b/>
              </w:rPr>
            </w:pPr>
            <w:r w:rsidRPr="00774124">
              <w:rPr>
                <w:b/>
              </w:rPr>
              <w:t>10.00 – 11.15</w:t>
            </w:r>
          </w:p>
        </w:tc>
        <w:tc>
          <w:tcPr>
            <w:tcW w:w="3404" w:type="pct"/>
            <w:gridSpan w:val="2"/>
            <w:tcBorders>
              <w:bottom w:val="single" w:sz="2" w:space="0" w:color="auto"/>
            </w:tcBorders>
            <w:shd w:val="clear" w:color="auto" w:fill="B8CCE4"/>
          </w:tcPr>
          <w:p w:rsidR="004C3802" w:rsidRPr="00774124" w:rsidRDefault="004C3802" w:rsidP="00774124">
            <w:pPr>
              <w:spacing w:after="0" w:line="240" w:lineRule="auto"/>
              <w:rPr>
                <w:b/>
              </w:rPr>
            </w:pPr>
            <w:r w:rsidRPr="00774124">
              <w:rPr>
                <w:b/>
              </w:rPr>
              <w:t>Welcome and introduction to the day</w:t>
            </w:r>
          </w:p>
          <w:p w:rsidR="004C3802" w:rsidRPr="00774124" w:rsidRDefault="004C3802" w:rsidP="00774124">
            <w:pPr>
              <w:spacing w:after="0" w:line="240" w:lineRule="auto"/>
            </w:pPr>
          </w:p>
          <w:p w:rsidR="004C3802" w:rsidRPr="00774124" w:rsidRDefault="004C3802" w:rsidP="00774124">
            <w:pPr>
              <w:spacing w:after="0" w:line="240" w:lineRule="auto"/>
              <w:rPr>
                <w:i/>
              </w:rPr>
            </w:pPr>
            <w:r w:rsidRPr="00774124">
              <w:rPr>
                <w:i/>
              </w:rPr>
              <w:t>Panel discussion: The role of public engagement for students, for community and for the STEM curriculum.</w:t>
            </w:r>
          </w:p>
          <w:p w:rsidR="004C3802" w:rsidRPr="00774124" w:rsidRDefault="004C3802" w:rsidP="00774124">
            <w:pPr>
              <w:spacing w:after="0" w:line="240" w:lineRule="auto"/>
            </w:pPr>
          </w:p>
          <w:p w:rsidR="004C3802" w:rsidRPr="00774124" w:rsidRDefault="004C3802" w:rsidP="00774124">
            <w:pPr>
              <w:spacing w:after="0" w:line="240" w:lineRule="auto"/>
            </w:pPr>
            <w:r w:rsidRPr="00774124">
              <w:rPr>
                <w:b/>
              </w:rPr>
              <w:t>Paul Manners,</w:t>
            </w:r>
            <w:r w:rsidRPr="00774124">
              <w:t xml:space="preserve"> Director, National Co-ordinating Centre for Public Engagement</w:t>
            </w:r>
          </w:p>
          <w:p w:rsidR="004C3802" w:rsidRPr="00774124" w:rsidRDefault="004C3802" w:rsidP="00774124">
            <w:pPr>
              <w:spacing w:after="0" w:line="240" w:lineRule="auto"/>
            </w:pPr>
            <w:r w:rsidRPr="00774124">
              <w:rPr>
                <w:b/>
              </w:rPr>
              <w:t xml:space="preserve">Danielle </w:t>
            </w:r>
            <w:proofErr w:type="spellStart"/>
            <w:r w:rsidRPr="00774124">
              <w:rPr>
                <w:b/>
              </w:rPr>
              <w:t>Grufferty</w:t>
            </w:r>
            <w:proofErr w:type="spellEnd"/>
            <w:r w:rsidRPr="00774124">
              <w:t>, Vice President Society &amp; Citizenship, NUS</w:t>
            </w:r>
          </w:p>
          <w:p w:rsidR="004C3802" w:rsidRPr="00774124" w:rsidRDefault="004C3802" w:rsidP="00774124">
            <w:pPr>
              <w:spacing w:after="0" w:line="240" w:lineRule="auto"/>
            </w:pPr>
            <w:r w:rsidRPr="00774124">
              <w:rPr>
                <w:b/>
              </w:rPr>
              <w:t>Ivan Moore</w:t>
            </w:r>
            <w:r w:rsidRPr="00774124">
              <w:t>, HE Curriculum Advisor on the HE STEM Programme</w:t>
            </w:r>
          </w:p>
          <w:p w:rsidR="004C3802" w:rsidRPr="00774124" w:rsidRDefault="004C3802" w:rsidP="00774124">
            <w:pPr>
              <w:spacing w:after="0" w:line="240" w:lineRule="auto"/>
            </w:pPr>
            <w:r w:rsidRPr="00774124">
              <w:rPr>
                <w:b/>
              </w:rPr>
              <w:t>Paul Taylor</w:t>
            </w:r>
            <w:r w:rsidRPr="00774124">
              <w:t xml:space="preserve">, </w:t>
            </w:r>
            <w:r w:rsidRPr="00774124">
              <w:rPr>
                <w:rStyle w:val="Emphasis"/>
                <w:i w:val="0"/>
              </w:rPr>
              <w:t xml:space="preserve">Associate Professor and director of Reinvention Centre, </w:t>
            </w:r>
            <w:smartTag w:uri="urn:schemas-microsoft-com:office:smarttags" w:element="PostalCode">
              <w:smartTag w:uri="urn:schemas-microsoft-com:office:smarttags" w:element="PostalCode">
                <w:r w:rsidRPr="00774124">
                  <w:rPr>
                    <w:rStyle w:val="Emphasis"/>
                    <w:i w:val="0"/>
                  </w:rPr>
                  <w:t>Warwick</w:t>
                </w:r>
              </w:smartTag>
              <w:r w:rsidRPr="00774124">
                <w:rPr>
                  <w:rStyle w:val="Emphasis"/>
                  <w:i w:val="0"/>
                </w:rPr>
                <w:t xml:space="preserve"> </w:t>
              </w:r>
              <w:smartTag w:uri="urn:schemas-microsoft-com:office:smarttags" w:element="PostalCode">
                <w:r w:rsidRPr="00774124">
                  <w:rPr>
                    <w:rStyle w:val="Emphasis"/>
                    <w:i w:val="0"/>
                  </w:rPr>
                  <w:t>University</w:t>
                </w:r>
              </w:smartTag>
            </w:smartTag>
          </w:p>
        </w:tc>
      </w:tr>
      <w:tr w:rsidR="004C3802" w:rsidRPr="00774124" w:rsidTr="00774124">
        <w:tc>
          <w:tcPr>
            <w:tcW w:w="1596" w:type="pct"/>
            <w:tcBorders>
              <w:top w:val="single" w:sz="2" w:space="0" w:color="auto"/>
            </w:tcBorders>
            <w:shd w:val="clear" w:color="auto" w:fill="DBE5F1"/>
          </w:tcPr>
          <w:p w:rsidR="004C3802" w:rsidRPr="00774124" w:rsidRDefault="004C3802" w:rsidP="00774124">
            <w:pPr>
              <w:spacing w:after="0" w:line="240" w:lineRule="auto"/>
              <w:rPr>
                <w:b/>
              </w:rPr>
            </w:pPr>
            <w:r w:rsidRPr="00774124">
              <w:rPr>
                <w:b/>
              </w:rPr>
              <w:t>11.05 – 11.15</w:t>
            </w:r>
          </w:p>
        </w:tc>
        <w:tc>
          <w:tcPr>
            <w:tcW w:w="3404" w:type="pct"/>
            <w:gridSpan w:val="2"/>
            <w:tcBorders>
              <w:top w:val="single" w:sz="2" w:space="0" w:color="auto"/>
            </w:tcBorders>
            <w:shd w:val="clear" w:color="auto" w:fill="DBE5F1"/>
          </w:tcPr>
          <w:p w:rsidR="004C3802" w:rsidRPr="00774124" w:rsidRDefault="004C3802" w:rsidP="00774124">
            <w:pPr>
              <w:spacing w:after="0" w:line="240" w:lineRule="auto"/>
              <w:rPr>
                <w:b/>
              </w:rPr>
            </w:pPr>
            <w:r w:rsidRPr="00774124">
              <w:rPr>
                <w:b/>
              </w:rPr>
              <w:t>Break</w:t>
            </w:r>
          </w:p>
        </w:tc>
      </w:tr>
      <w:tr w:rsidR="004C3802" w:rsidRPr="00774124" w:rsidTr="00774124">
        <w:tc>
          <w:tcPr>
            <w:tcW w:w="1596" w:type="pct"/>
            <w:tcBorders>
              <w:bottom w:val="single" w:sz="2" w:space="0" w:color="auto"/>
            </w:tcBorders>
            <w:shd w:val="clear" w:color="auto" w:fill="B8CCE4"/>
          </w:tcPr>
          <w:p w:rsidR="004C3802" w:rsidRPr="00774124" w:rsidRDefault="004C3802" w:rsidP="00774124">
            <w:pPr>
              <w:spacing w:after="0" w:line="240" w:lineRule="auto"/>
              <w:rPr>
                <w:b/>
              </w:rPr>
            </w:pPr>
            <w:r w:rsidRPr="00774124">
              <w:rPr>
                <w:b/>
              </w:rPr>
              <w:t>11.15 – 12.05</w:t>
            </w:r>
          </w:p>
        </w:tc>
        <w:tc>
          <w:tcPr>
            <w:tcW w:w="3404" w:type="pct"/>
            <w:gridSpan w:val="2"/>
            <w:tcBorders>
              <w:bottom w:val="single" w:sz="2" w:space="0" w:color="auto"/>
            </w:tcBorders>
            <w:shd w:val="clear" w:color="auto" w:fill="B8CCE4"/>
          </w:tcPr>
          <w:p w:rsidR="004C3802" w:rsidRPr="00774124" w:rsidRDefault="004C3802" w:rsidP="00774124">
            <w:pPr>
              <w:spacing w:after="0" w:line="240" w:lineRule="auto"/>
              <w:rPr>
                <w:b/>
              </w:rPr>
            </w:pPr>
            <w:r w:rsidRPr="00774124">
              <w:rPr>
                <w:b/>
              </w:rPr>
              <w:t>Workshop 1</w:t>
            </w:r>
          </w:p>
        </w:tc>
      </w:tr>
      <w:tr w:rsidR="004C3802" w:rsidRPr="00774124" w:rsidTr="00774124">
        <w:tc>
          <w:tcPr>
            <w:tcW w:w="1596" w:type="pct"/>
            <w:tcBorders>
              <w:top w:val="single" w:sz="2" w:space="0" w:color="auto"/>
              <w:bottom w:val="single" w:sz="2" w:space="0" w:color="auto"/>
            </w:tcBorders>
            <w:shd w:val="clear" w:color="auto" w:fill="B8CCE4"/>
          </w:tcPr>
          <w:p w:rsidR="004C3802" w:rsidRPr="00774124" w:rsidRDefault="004C3802" w:rsidP="00774124">
            <w:pPr>
              <w:spacing w:after="0" w:line="240" w:lineRule="auto"/>
              <w:jc w:val="center"/>
            </w:pPr>
            <w:r w:rsidRPr="00774124">
              <w:t>1A</w:t>
            </w:r>
          </w:p>
          <w:p w:rsidR="004C3802" w:rsidRPr="00774124" w:rsidRDefault="004C3802" w:rsidP="00774124">
            <w:pPr>
              <w:spacing w:after="0" w:line="240" w:lineRule="auto"/>
              <w:jc w:val="center"/>
            </w:pPr>
            <w:r w:rsidRPr="00774124">
              <w:t>Enhancing student employability through ethics-themed schools outreach activities and open educational resources</w:t>
            </w:r>
          </w:p>
        </w:tc>
        <w:tc>
          <w:tcPr>
            <w:tcW w:w="1794" w:type="pct"/>
            <w:tcBorders>
              <w:top w:val="single" w:sz="2" w:space="0" w:color="auto"/>
              <w:bottom w:val="single" w:sz="2" w:space="0" w:color="auto"/>
            </w:tcBorders>
            <w:shd w:val="clear" w:color="auto" w:fill="B8CCE4"/>
          </w:tcPr>
          <w:p w:rsidR="004C3802" w:rsidRPr="00774124" w:rsidRDefault="004C3802" w:rsidP="00774124">
            <w:pPr>
              <w:spacing w:after="0" w:line="240" w:lineRule="auto"/>
              <w:jc w:val="center"/>
            </w:pPr>
            <w:r w:rsidRPr="00774124">
              <w:t>1B</w:t>
            </w:r>
          </w:p>
          <w:p w:rsidR="004C3802" w:rsidRPr="00774124" w:rsidRDefault="004C3802" w:rsidP="00774124">
            <w:pPr>
              <w:spacing w:after="0" w:line="240" w:lineRule="auto"/>
              <w:jc w:val="center"/>
            </w:pPr>
            <w:r w:rsidRPr="00774124">
              <w:t>Developing HE Staff Capacity to Engage with Community-based Learning within the Curriculum</w:t>
            </w:r>
          </w:p>
        </w:tc>
        <w:tc>
          <w:tcPr>
            <w:tcW w:w="1610" w:type="pct"/>
            <w:tcBorders>
              <w:top w:val="single" w:sz="2" w:space="0" w:color="auto"/>
              <w:bottom w:val="single" w:sz="2" w:space="0" w:color="auto"/>
            </w:tcBorders>
            <w:shd w:val="clear" w:color="auto" w:fill="B8CCE4"/>
          </w:tcPr>
          <w:p w:rsidR="004C3802" w:rsidRPr="00774124" w:rsidRDefault="004C3802" w:rsidP="00774124">
            <w:pPr>
              <w:spacing w:after="0" w:line="240" w:lineRule="auto"/>
              <w:jc w:val="center"/>
            </w:pPr>
            <w:r w:rsidRPr="00774124">
              <w:t>1C</w:t>
            </w:r>
          </w:p>
          <w:p w:rsidR="004C3802" w:rsidRPr="00774124" w:rsidRDefault="004C3802" w:rsidP="00774124">
            <w:pPr>
              <w:spacing w:after="0" w:line="240" w:lineRule="auto"/>
              <w:jc w:val="center"/>
            </w:pPr>
            <w:r w:rsidRPr="00774124">
              <w:t xml:space="preserve">Engineering community based learning at the </w:t>
            </w:r>
            <w:smartTag w:uri="urn:schemas-microsoft-com:office:smarttags" w:element="PostalCode">
              <w:smartTag w:uri="urn:schemas-microsoft-com:office:smarttags" w:element="PostalCode">
                <w:r w:rsidRPr="00774124">
                  <w:t>University</w:t>
                </w:r>
              </w:smartTag>
              <w:r w:rsidRPr="00774124">
                <w:t xml:space="preserve"> of </w:t>
              </w:r>
              <w:smartTag w:uri="urn:schemas-microsoft-com:office:smarttags" w:element="PostalCode">
                <w:r w:rsidRPr="00774124">
                  <w:t>Bristol</w:t>
                </w:r>
              </w:smartTag>
            </w:smartTag>
          </w:p>
        </w:tc>
      </w:tr>
      <w:tr w:rsidR="004C3802" w:rsidRPr="00774124" w:rsidTr="00774124">
        <w:tc>
          <w:tcPr>
            <w:tcW w:w="1596" w:type="pct"/>
            <w:tcBorders>
              <w:top w:val="single" w:sz="2" w:space="0" w:color="auto"/>
            </w:tcBorders>
            <w:shd w:val="clear" w:color="auto" w:fill="DBE5F1"/>
          </w:tcPr>
          <w:p w:rsidR="004C3802" w:rsidRPr="00774124" w:rsidRDefault="004C3802" w:rsidP="00774124">
            <w:pPr>
              <w:spacing w:after="0" w:line="240" w:lineRule="auto"/>
              <w:rPr>
                <w:b/>
              </w:rPr>
            </w:pPr>
            <w:r w:rsidRPr="00774124">
              <w:rPr>
                <w:b/>
              </w:rPr>
              <w:t>12.10 – 13.00</w:t>
            </w:r>
          </w:p>
        </w:tc>
        <w:tc>
          <w:tcPr>
            <w:tcW w:w="3404" w:type="pct"/>
            <w:gridSpan w:val="2"/>
            <w:tcBorders>
              <w:top w:val="single" w:sz="2" w:space="0" w:color="auto"/>
            </w:tcBorders>
            <w:shd w:val="clear" w:color="auto" w:fill="DBE5F1"/>
          </w:tcPr>
          <w:p w:rsidR="004C3802" w:rsidRPr="00774124" w:rsidRDefault="004C3802" w:rsidP="00774124">
            <w:pPr>
              <w:spacing w:after="0" w:line="240" w:lineRule="auto"/>
              <w:rPr>
                <w:b/>
              </w:rPr>
            </w:pPr>
            <w:r w:rsidRPr="00774124">
              <w:rPr>
                <w:b/>
              </w:rPr>
              <w:t>Workshop 2</w:t>
            </w:r>
          </w:p>
        </w:tc>
      </w:tr>
      <w:tr w:rsidR="004C3802" w:rsidRPr="00774124" w:rsidTr="00774124">
        <w:tc>
          <w:tcPr>
            <w:tcW w:w="1596" w:type="pct"/>
            <w:shd w:val="clear" w:color="auto" w:fill="DBE5F1"/>
          </w:tcPr>
          <w:p w:rsidR="004C3802" w:rsidRPr="00774124" w:rsidRDefault="004C3802" w:rsidP="00774124">
            <w:pPr>
              <w:spacing w:after="0" w:line="240" w:lineRule="auto"/>
              <w:jc w:val="center"/>
            </w:pPr>
            <w:r w:rsidRPr="00774124">
              <w:t>2A</w:t>
            </w:r>
          </w:p>
          <w:p w:rsidR="004C3802" w:rsidRPr="00774124" w:rsidRDefault="004C3802" w:rsidP="00774124">
            <w:pPr>
              <w:spacing w:after="0" w:line="240" w:lineRule="auto"/>
              <w:jc w:val="center"/>
            </w:pPr>
            <w:r w:rsidRPr="00774124">
              <w:rPr>
                <w:rFonts w:cs="Calibri"/>
                <w:bCs/>
                <w:color w:val="000000"/>
                <w:szCs w:val="20"/>
                <w:lang w:eastAsia="en-GB"/>
              </w:rPr>
              <w:t>Community Action + Knowledge Exchange: community engagement within and beyond the undergraduate curriculum</w:t>
            </w:r>
          </w:p>
        </w:tc>
        <w:tc>
          <w:tcPr>
            <w:tcW w:w="1794" w:type="pct"/>
            <w:shd w:val="clear" w:color="auto" w:fill="DBE5F1"/>
          </w:tcPr>
          <w:p w:rsidR="004C3802" w:rsidRPr="00774124" w:rsidRDefault="004C3802" w:rsidP="00774124">
            <w:pPr>
              <w:spacing w:after="0" w:line="240" w:lineRule="auto"/>
              <w:jc w:val="center"/>
            </w:pPr>
            <w:r w:rsidRPr="00774124">
              <w:t>2B</w:t>
            </w:r>
          </w:p>
          <w:p w:rsidR="004C3802" w:rsidRPr="00774124" w:rsidRDefault="004C3802" w:rsidP="00774124">
            <w:pPr>
              <w:spacing w:after="0" w:line="240" w:lineRule="auto"/>
              <w:jc w:val="center"/>
            </w:pPr>
            <w:r w:rsidRPr="00774124">
              <w:t>Assessing student learning from public engagement</w:t>
            </w:r>
          </w:p>
          <w:p w:rsidR="004C3802" w:rsidRPr="00774124" w:rsidRDefault="004C3802" w:rsidP="00774124">
            <w:pPr>
              <w:spacing w:after="0" w:line="240" w:lineRule="auto"/>
            </w:pPr>
          </w:p>
        </w:tc>
        <w:tc>
          <w:tcPr>
            <w:tcW w:w="1610" w:type="pct"/>
            <w:shd w:val="clear" w:color="auto" w:fill="DBE5F1"/>
          </w:tcPr>
          <w:p w:rsidR="004C3802" w:rsidRPr="00774124" w:rsidRDefault="004C3802" w:rsidP="00774124">
            <w:pPr>
              <w:spacing w:after="0" w:line="240" w:lineRule="auto"/>
              <w:jc w:val="center"/>
            </w:pPr>
            <w:r w:rsidRPr="00774124">
              <w:t>2C</w:t>
            </w:r>
          </w:p>
          <w:p w:rsidR="004C3802" w:rsidRPr="00774124" w:rsidRDefault="004C3802" w:rsidP="00774124">
            <w:pPr>
              <w:spacing w:after="0" w:line="240" w:lineRule="auto"/>
              <w:jc w:val="center"/>
            </w:pPr>
            <w:r w:rsidRPr="00774124">
              <w:t>Learning to make a difference – student community engagement</w:t>
            </w:r>
          </w:p>
        </w:tc>
      </w:tr>
      <w:tr w:rsidR="004C3802" w:rsidRPr="00774124" w:rsidTr="00774124">
        <w:tc>
          <w:tcPr>
            <w:tcW w:w="1596" w:type="pct"/>
            <w:tcBorders>
              <w:bottom w:val="single" w:sz="2" w:space="0" w:color="auto"/>
            </w:tcBorders>
            <w:shd w:val="clear" w:color="auto" w:fill="B8CCE4"/>
          </w:tcPr>
          <w:p w:rsidR="004C3802" w:rsidRPr="00774124" w:rsidRDefault="004C3802" w:rsidP="00774124">
            <w:pPr>
              <w:spacing w:after="0" w:line="240" w:lineRule="auto"/>
              <w:rPr>
                <w:b/>
              </w:rPr>
            </w:pPr>
            <w:r w:rsidRPr="00774124">
              <w:rPr>
                <w:b/>
              </w:rPr>
              <w:t>13.00 – 14.00</w:t>
            </w:r>
          </w:p>
        </w:tc>
        <w:tc>
          <w:tcPr>
            <w:tcW w:w="3404" w:type="pct"/>
            <w:gridSpan w:val="2"/>
            <w:tcBorders>
              <w:bottom w:val="single" w:sz="2" w:space="0" w:color="auto"/>
            </w:tcBorders>
            <w:shd w:val="clear" w:color="auto" w:fill="B8CCE4"/>
          </w:tcPr>
          <w:p w:rsidR="004C3802" w:rsidRPr="00774124" w:rsidRDefault="004C3802" w:rsidP="00774124">
            <w:pPr>
              <w:spacing w:after="0" w:line="240" w:lineRule="auto"/>
              <w:rPr>
                <w:b/>
              </w:rPr>
            </w:pPr>
            <w:r w:rsidRPr="00774124">
              <w:rPr>
                <w:b/>
              </w:rPr>
              <w:t>Lunch</w:t>
            </w:r>
          </w:p>
        </w:tc>
      </w:tr>
      <w:tr w:rsidR="004C3802" w:rsidRPr="00774124" w:rsidTr="00774124">
        <w:tc>
          <w:tcPr>
            <w:tcW w:w="1596" w:type="pct"/>
            <w:tcBorders>
              <w:top w:val="single" w:sz="2" w:space="0" w:color="auto"/>
            </w:tcBorders>
            <w:shd w:val="clear" w:color="auto" w:fill="DBE5F1"/>
          </w:tcPr>
          <w:p w:rsidR="004C3802" w:rsidRPr="00774124" w:rsidRDefault="004C3802" w:rsidP="00774124">
            <w:pPr>
              <w:spacing w:after="0" w:line="240" w:lineRule="auto"/>
              <w:rPr>
                <w:b/>
              </w:rPr>
            </w:pPr>
            <w:r w:rsidRPr="00774124">
              <w:rPr>
                <w:b/>
              </w:rPr>
              <w:t>14.00 – 14.15</w:t>
            </w:r>
          </w:p>
        </w:tc>
        <w:tc>
          <w:tcPr>
            <w:tcW w:w="3404" w:type="pct"/>
            <w:gridSpan w:val="2"/>
            <w:tcBorders>
              <w:top w:val="single" w:sz="2" w:space="0" w:color="auto"/>
            </w:tcBorders>
            <w:shd w:val="clear" w:color="auto" w:fill="DBE5F1"/>
          </w:tcPr>
          <w:p w:rsidR="004C3802" w:rsidRPr="00774124" w:rsidRDefault="004C3802" w:rsidP="00774124">
            <w:pPr>
              <w:spacing w:after="0" w:line="240" w:lineRule="auto"/>
              <w:rPr>
                <w:b/>
              </w:rPr>
            </w:pPr>
            <w:r w:rsidRPr="00774124">
              <w:rPr>
                <w:b/>
              </w:rPr>
              <w:t>Plenary</w:t>
            </w:r>
          </w:p>
          <w:p w:rsidR="004C3802" w:rsidRPr="00774124" w:rsidRDefault="004C3802" w:rsidP="00774124">
            <w:pPr>
              <w:spacing w:after="0" w:line="240" w:lineRule="auto"/>
              <w:rPr>
                <w:i/>
              </w:rPr>
            </w:pPr>
          </w:p>
          <w:p w:rsidR="004C3802" w:rsidRPr="00774124" w:rsidRDefault="004C3802" w:rsidP="00774124">
            <w:pPr>
              <w:spacing w:after="0" w:line="240" w:lineRule="auto"/>
              <w:rPr>
                <w:i/>
              </w:rPr>
            </w:pPr>
            <w:r w:rsidRPr="00774124">
              <w:rPr>
                <w:i/>
              </w:rPr>
              <w:t>Developing curricula for community outcomes</w:t>
            </w:r>
          </w:p>
          <w:p w:rsidR="004C3802" w:rsidRPr="00774124" w:rsidRDefault="004C3802" w:rsidP="00774124">
            <w:pPr>
              <w:spacing w:after="0" w:line="240" w:lineRule="auto"/>
              <w:rPr>
                <w:i/>
              </w:rPr>
            </w:pPr>
          </w:p>
          <w:p w:rsidR="004C3802" w:rsidRPr="00774124" w:rsidRDefault="004C3802" w:rsidP="00774124">
            <w:pPr>
              <w:spacing w:after="0" w:line="240" w:lineRule="auto"/>
              <w:rPr>
                <w:b/>
              </w:rPr>
            </w:pPr>
            <w:r w:rsidRPr="00774124">
              <w:rPr>
                <w:b/>
              </w:rPr>
              <w:t xml:space="preserve">Dr Angela </w:t>
            </w:r>
            <w:proofErr w:type="spellStart"/>
            <w:r w:rsidRPr="00774124">
              <w:rPr>
                <w:b/>
              </w:rPr>
              <w:t>Piccini</w:t>
            </w:r>
            <w:proofErr w:type="spellEnd"/>
            <w:r w:rsidRPr="00774124">
              <w:t xml:space="preserve">, Senior Lecturer in Screen Media, </w:t>
            </w:r>
            <w:smartTag w:uri="urn:schemas-microsoft-com:office:smarttags" w:element="PostalCode">
              <w:smartTag w:uri="urn:schemas-microsoft-com:office:smarttags" w:element="PostalCode">
                <w:r w:rsidRPr="00774124">
                  <w:t>University</w:t>
                </w:r>
              </w:smartTag>
              <w:r w:rsidRPr="00774124">
                <w:t xml:space="preserve"> of </w:t>
              </w:r>
              <w:smartTag w:uri="urn:schemas-microsoft-com:office:smarttags" w:element="PostalCode">
                <w:r w:rsidRPr="00774124">
                  <w:t>Bristol</w:t>
                </w:r>
              </w:smartTag>
            </w:smartTag>
          </w:p>
        </w:tc>
      </w:tr>
      <w:tr w:rsidR="004C3802" w:rsidRPr="00774124" w:rsidTr="00774124">
        <w:tc>
          <w:tcPr>
            <w:tcW w:w="1596" w:type="pct"/>
            <w:tcBorders>
              <w:bottom w:val="single" w:sz="2" w:space="0" w:color="auto"/>
            </w:tcBorders>
            <w:shd w:val="clear" w:color="auto" w:fill="B8CCE4"/>
          </w:tcPr>
          <w:p w:rsidR="004C3802" w:rsidRPr="00774124" w:rsidRDefault="004C3802" w:rsidP="00774124">
            <w:pPr>
              <w:spacing w:after="0" w:line="240" w:lineRule="auto"/>
              <w:rPr>
                <w:b/>
              </w:rPr>
            </w:pPr>
            <w:r w:rsidRPr="00774124">
              <w:rPr>
                <w:b/>
              </w:rPr>
              <w:t>14.15 – 15.25</w:t>
            </w:r>
          </w:p>
        </w:tc>
        <w:tc>
          <w:tcPr>
            <w:tcW w:w="3404" w:type="pct"/>
            <w:gridSpan w:val="2"/>
            <w:tcBorders>
              <w:bottom w:val="single" w:sz="2" w:space="0" w:color="auto"/>
            </w:tcBorders>
            <w:shd w:val="clear" w:color="auto" w:fill="B8CCE4"/>
          </w:tcPr>
          <w:p w:rsidR="004C3802" w:rsidRPr="00774124" w:rsidRDefault="004C3802" w:rsidP="00774124">
            <w:pPr>
              <w:spacing w:after="0" w:line="240" w:lineRule="auto"/>
              <w:rPr>
                <w:b/>
              </w:rPr>
            </w:pPr>
            <w:r w:rsidRPr="00774124">
              <w:rPr>
                <w:b/>
              </w:rPr>
              <w:t>Developing practice in STEM</w:t>
            </w:r>
          </w:p>
          <w:p w:rsidR="004C3802" w:rsidRPr="00774124" w:rsidRDefault="004C3802" w:rsidP="00774124">
            <w:pPr>
              <w:spacing w:after="0" w:line="240" w:lineRule="auto"/>
            </w:pPr>
          </w:p>
          <w:p w:rsidR="004C3802" w:rsidRPr="00774124" w:rsidRDefault="004C3802" w:rsidP="00774124">
            <w:pPr>
              <w:spacing w:after="0" w:line="240" w:lineRule="auto"/>
            </w:pPr>
            <w:r w:rsidRPr="00774124">
              <w:t>Exploring lessons learnt from the workshops and developing proposals to develop practice in STEM disciplines.</w:t>
            </w:r>
          </w:p>
        </w:tc>
      </w:tr>
      <w:tr w:rsidR="004C3802" w:rsidRPr="00774124" w:rsidTr="00774124">
        <w:tc>
          <w:tcPr>
            <w:tcW w:w="1596" w:type="pct"/>
            <w:tcBorders>
              <w:top w:val="single" w:sz="2" w:space="0" w:color="auto"/>
            </w:tcBorders>
            <w:shd w:val="clear" w:color="auto" w:fill="DBE5F1"/>
          </w:tcPr>
          <w:p w:rsidR="004C3802" w:rsidRPr="00774124" w:rsidRDefault="004C3802" w:rsidP="00774124">
            <w:pPr>
              <w:spacing w:after="0" w:line="240" w:lineRule="auto"/>
              <w:rPr>
                <w:b/>
              </w:rPr>
            </w:pPr>
            <w:r w:rsidRPr="00774124">
              <w:rPr>
                <w:b/>
              </w:rPr>
              <w:t>15.25 – 15.50</w:t>
            </w:r>
          </w:p>
        </w:tc>
        <w:tc>
          <w:tcPr>
            <w:tcW w:w="3404" w:type="pct"/>
            <w:gridSpan w:val="2"/>
            <w:tcBorders>
              <w:top w:val="single" w:sz="2" w:space="0" w:color="auto"/>
            </w:tcBorders>
            <w:shd w:val="clear" w:color="auto" w:fill="DBE5F1"/>
          </w:tcPr>
          <w:p w:rsidR="004C3802" w:rsidRPr="00774124" w:rsidRDefault="004C3802" w:rsidP="00774124">
            <w:pPr>
              <w:spacing w:after="0" w:line="240" w:lineRule="auto"/>
              <w:rPr>
                <w:b/>
              </w:rPr>
            </w:pPr>
            <w:r w:rsidRPr="00774124">
              <w:rPr>
                <w:b/>
              </w:rPr>
              <w:t>Presenting and finalising proposals</w:t>
            </w:r>
          </w:p>
          <w:p w:rsidR="004C3802" w:rsidRPr="00774124" w:rsidRDefault="004C3802" w:rsidP="00774124">
            <w:pPr>
              <w:spacing w:after="0" w:line="240" w:lineRule="auto"/>
              <w:rPr>
                <w:b/>
              </w:rPr>
            </w:pPr>
          </w:p>
          <w:p w:rsidR="004C3802" w:rsidRPr="00774124" w:rsidRDefault="004C3802" w:rsidP="00774124">
            <w:pPr>
              <w:spacing w:after="0" w:line="240" w:lineRule="auto"/>
            </w:pPr>
            <w:r w:rsidRPr="00774124">
              <w:t>Participants will present proposals for development projects and discuss implications for practice.</w:t>
            </w:r>
          </w:p>
        </w:tc>
      </w:tr>
      <w:tr w:rsidR="004C3802" w:rsidRPr="00774124" w:rsidTr="00774124">
        <w:tc>
          <w:tcPr>
            <w:tcW w:w="1596" w:type="pct"/>
            <w:tcBorders>
              <w:bottom w:val="single" w:sz="2" w:space="0" w:color="auto"/>
            </w:tcBorders>
            <w:shd w:val="clear" w:color="auto" w:fill="B8CCE4"/>
          </w:tcPr>
          <w:p w:rsidR="004C3802" w:rsidRPr="00774124" w:rsidRDefault="004C3802" w:rsidP="00774124">
            <w:pPr>
              <w:spacing w:after="0" w:line="240" w:lineRule="auto"/>
              <w:rPr>
                <w:b/>
              </w:rPr>
            </w:pPr>
            <w:r w:rsidRPr="00774124">
              <w:rPr>
                <w:b/>
              </w:rPr>
              <w:t>15.50 – 16.00</w:t>
            </w:r>
          </w:p>
        </w:tc>
        <w:tc>
          <w:tcPr>
            <w:tcW w:w="3404" w:type="pct"/>
            <w:gridSpan w:val="2"/>
            <w:tcBorders>
              <w:bottom w:val="single" w:sz="2" w:space="0" w:color="auto"/>
            </w:tcBorders>
            <w:shd w:val="clear" w:color="auto" w:fill="B8CCE4"/>
          </w:tcPr>
          <w:p w:rsidR="004C3802" w:rsidRPr="00774124" w:rsidRDefault="004C3802" w:rsidP="00774124">
            <w:pPr>
              <w:spacing w:after="0" w:line="240" w:lineRule="auto"/>
              <w:rPr>
                <w:b/>
              </w:rPr>
            </w:pPr>
            <w:r w:rsidRPr="00774124">
              <w:rPr>
                <w:b/>
              </w:rPr>
              <w:t>Close</w:t>
            </w:r>
          </w:p>
        </w:tc>
      </w:tr>
    </w:tbl>
    <w:p w:rsidR="004C3802" w:rsidRDefault="004C3802" w:rsidP="00972AFA"/>
    <w:p w:rsidR="004C3802" w:rsidRDefault="004C3802" w:rsidP="00972AFA"/>
    <w:p w:rsidR="004C3802" w:rsidRDefault="004C3802">
      <w:pPr>
        <w:rPr>
          <w:b/>
          <w:bCs/>
          <w:color w:val="08446E"/>
          <w:sz w:val="32"/>
          <w:szCs w:val="32"/>
        </w:rPr>
      </w:pPr>
      <w:r>
        <w:rPr>
          <w:b/>
          <w:bCs/>
          <w:color w:val="08446E"/>
          <w:sz w:val="32"/>
          <w:szCs w:val="32"/>
        </w:rPr>
        <w:br w:type="page"/>
      </w:r>
    </w:p>
    <w:p w:rsidR="004C3802" w:rsidRDefault="004C3802" w:rsidP="007131CC">
      <w:pPr>
        <w:rPr>
          <w:b/>
          <w:bCs/>
          <w:color w:val="08446E"/>
          <w:sz w:val="32"/>
          <w:szCs w:val="32"/>
        </w:rPr>
      </w:pPr>
      <w:r>
        <w:rPr>
          <w:b/>
          <w:bCs/>
          <w:color w:val="08446E"/>
          <w:sz w:val="32"/>
          <w:szCs w:val="32"/>
        </w:rPr>
        <w:t xml:space="preserve">  Workshops</w:t>
      </w:r>
    </w:p>
    <w:tbl>
      <w:tblPr>
        <w:tblW w:w="4777" w:type="pct"/>
        <w:tblInd w:w="250" w:type="dxa"/>
        <w:tblLook w:val="00A0" w:firstRow="1" w:lastRow="0" w:firstColumn="1" w:lastColumn="0" w:noHBand="0" w:noVBand="0"/>
      </w:tblPr>
      <w:tblGrid>
        <w:gridCol w:w="10206"/>
      </w:tblGrid>
      <w:tr w:rsidR="004C3802" w:rsidRPr="00774124" w:rsidTr="00774124">
        <w:tc>
          <w:tcPr>
            <w:tcW w:w="5000" w:type="pct"/>
          </w:tcPr>
          <w:p w:rsidR="004C3802" w:rsidRPr="00774124" w:rsidRDefault="004C3802" w:rsidP="00774124">
            <w:pPr>
              <w:spacing w:after="0" w:line="240" w:lineRule="auto"/>
              <w:rPr>
                <w:b/>
              </w:rPr>
            </w:pPr>
            <w:r w:rsidRPr="00774124">
              <w:rPr>
                <w:b/>
              </w:rPr>
              <w:t>Workshops 1</w:t>
            </w:r>
          </w:p>
        </w:tc>
      </w:tr>
      <w:tr w:rsidR="004C3802" w:rsidRPr="00774124" w:rsidTr="00774124">
        <w:tc>
          <w:tcPr>
            <w:tcW w:w="5000" w:type="pct"/>
          </w:tcPr>
          <w:p w:rsidR="004C3802" w:rsidRPr="00774124" w:rsidRDefault="004C3802" w:rsidP="00774124">
            <w:pPr>
              <w:spacing w:after="0" w:line="240" w:lineRule="auto"/>
            </w:pPr>
            <w:r w:rsidRPr="00774124">
              <w:rPr>
                <w:b/>
              </w:rPr>
              <w:t>1A:</w:t>
            </w:r>
            <w:r w:rsidRPr="00774124">
              <w:rPr>
                <w:b/>
                <w:i/>
              </w:rPr>
              <w:t xml:space="preserve"> </w:t>
            </w:r>
            <w:r w:rsidRPr="00774124">
              <w:rPr>
                <w:b/>
              </w:rPr>
              <w:t>Enhancing student employability through ethics-themed schools outreach activities and open educational resources</w:t>
            </w:r>
          </w:p>
        </w:tc>
      </w:tr>
      <w:tr w:rsidR="004C3802" w:rsidRPr="00774124" w:rsidTr="00774124">
        <w:tc>
          <w:tcPr>
            <w:tcW w:w="5000" w:type="pct"/>
          </w:tcPr>
          <w:p w:rsidR="004C3802" w:rsidRPr="00774124" w:rsidRDefault="004C3802" w:rsidP="00774124">
            <w:pPr>
              <w:spacing w:after="0" w:line="240" w:lineRule="auto"/>
              <w:rPr>
                <w:i/>
              </w:rPr>
            </w:pPr>
            <w:r w:rsidRPr="00774124">
              <w:rPr>
                <w:i/>
              </w:rPr>
              <w:t xml:space="preserve">Dr Dave Lewis, Senior Lecturer in Neuroscience &amp; Scientific Ethics, </w:t>
            </w:r>
            <w:smartTag w:uri="urn:schemas-microsoft-com:office:smarttags" w:element="PostalCode">
              <w:smartTag w:uri="urn:schemas-microsoft-com:office:smarttags" w:element="PostalCode">
                <w:r w:rsidRPr="00774124">
                  <w:rPr>
                    <w:i/>
                  </w:rPr>
                  <w:t>University</w:t>
                </w:r>
              </w:smartTag>
              <w:r w:rsidRPr="00774124">
                <w:rPr>
                  <w:i/>
                </w:rPr>
                <w:t xml:space="preserve"> of </w:t>
              </w:r>
              <w:smartTag w:uri="urn:schemas-microsoft-com:office:smarttags" w:element="PostalCode">
                <w:r w:rsidRPr="00774124">
                  <w:rPr>
                    <w:i/>
                  </w:rPr>
                  <w:t>Leeds</w:t>
                </w:r>
              </w:smartTag>
            </w:smartTag>
          </w:p>
          <w:p w:rsidR="004C3802" w:rsidRPr="00774124" w:rsidRDefault="004C3802" w:rsidP="00774124">
            <w:pPr>
              <w:spacing w:after="0" w:line="240" w:lineRule="auto"/>
              <w:rPr>
                <w:b/>
                <w:i/>
              </w:rPr>
            </w:pPr>
          </w:p>
          <w:p w:rsidR="004C3802" w:rsidRPr="00774124" w:rsidRDefault="004C3802" w:rsidP="00774124">
            <w:pPr>
              <w:spacing w:after="0" w:line="240" w:lineRule="auto"/>
              <w:rPr>
                <w:rFonts w:cs="Calibri"/>
                <w:color w:val="000000"/>
                <w:lang w:eastAsia="en-GB"/>
              </w:rPr>
            </w:pPr>
            <w:r w:rsidRPr="00774124">
              <w:rPr>
                <w:rFonts w:cs="Calibri"/>
                <w:color w:val="000000"/>
                <w:lang w:eastAsia="en-GB"/>
              </w:rPr>
              <w:t xml:space="preserve">Science and Society projects provide opportunities for final year undergraduate students create and deliver ethics-themed teaching sessions for local school pupils, evaluating and reporting on this exercise as their final-year research project.  First year undergraduate interns then further develop these resources into open access resources for use by the schools themselves.  They encourage students to be enterprising, innovative and to develop key employability skills. They are a valuable tool in developing partnerships with local schools, promoting Universities and encouraging young people to consider careers in the biological sciences.  </w:t>
            </w:r>
            <w:r w:rsidRPr="00774124">
              <w:t xml:space="preserve">This workshop will showcase elements of the ethics-themed “Science and Society” final year undergraduate projects and student internships.  </w:t>
            </w:r>
            <w:r w:rsidRPr="00774124">
              <w:rPr>
                <w:rFonts w:cs="Calibri"/>
                <w:color w:val="000000"/>
              </w:rPr>
              <w:t xml:space="preserve">Participants will be invited to consider issues such as the practicalities of offering these projects, the benefits to students, Faculties and to local schools, the advantages / disadvantages of these activities compared to other means of engaging young people and the transferability of these activities to other disciplines or Institutions. </w:t>
            </w:r>
          </w:p>
          <w:p w:rsidR="004C3802" w:rsidRPr="00774124" w:rsidRDefault="004C3802" w:rsidP="00774124">
            <w:pPr>
              <w:spacing w:after="0" w:line="240" w:lineRule="auto"/>
              <w:rPr>
                <w:b/>
              </w:rPr>
            </w:pPr>
          </w:p>
        </w:tc>
      </w:tr>
      <w:tr w:rsidR="004C3802" w:rsidRPr="00774124" w:rsidTr="00774124">
        <w:tc>
          <w:tcPr>
            <w:tcW w:w="5000" w:type="pct"/>
          </w:tcPr>
          <w:p w:rsidR="004C3802" w:rsidRPr="00774124" w:rsidRDefault="004C3802" w:rsidP="00774124">
            <w:pPr>
              <w:spacing w:after="0" w:line="240" w:lineRule="auto"/>
              <w:rPr>
                <w:b/>
                <w:i/>
              </w:rPr>
            </w:pPr>
            <w:r w:rsidRPr="00774124">
              <w:rPr>
                <w:b/>
                <w:i/>
              </w:rPr>
              <w:t xml:space="preserve">1B: </w:t>
            </w:r>
            <w:r w:rsidRPr="00774124">
              <w:rPr>
                <w:b/>
              </w:rPr>
              <w:t>Developing HE Staff Capacity to Engage with Community-based Learning within the Curriculum</w:t>
            </w:r>
          </w:p>
          <w:p w:rsidR="004C3802" w:rsidRPr="00774124" w:rsidRDefault="004C3802" w:rsidP="00774124">
            <w:pPr>
              <w:spacing w:after="0" w:line="240" w:lineRule="auto"/>
              <w:rPr>
                <w:i/>
              </w:rPr>
            </w:pPr>
            <w:r w:rsidRPr="00774124">
              <w:rPr>
                <w:i/>
              </w:rPr>
              <w:t xml:space="preserve">Professor Lindsey McEwen, Environmental Management, University of the West of </w:t>
            </w:r>
            <w:smartTag w:uri="urn:schemas-microsoft-com:office:smarttags" w:element="PostalCode">
              <w:r w:rsidRPr="00774124">
                <w:rPr>
                  <w:i/>
                </w:rPr>
                <w:t>England</w:t>
              </w:r>
            </w:smartTag>
            <w:r w:rsidRPr="00774124">
              <w:rPr>
                <w:i/>
              </w:rPr>
              <w:t xml:space="preserve"> and Professor Kristine Mason O’Connor, Higher Education Development, Emeritus, </w:t>
            </w:r>
            <w:smartTag w:uri="urn:schemas-microsoft-com:office:smarttags" w:element="PostalCode">
              <w:smartTag w:uri="urn:schemas-microsoft-com:office:smarttags" w:element="PostalCode">
                <w:r w:rsidRPr="00774124">
                  <w:rPr>
                    <w:i/>
                  </w:rPr>
                  <w:t>University</w:t>
                </w:r>
              </w:smartTag>
              <w:r w:rsidRPr="00774124">
                <w:rPr>
                  <w:i/>
                </w:rPr>
                <w:t xml:space="preserve"> of </w:t>
              </w:r>
              <w:smartTag w:uri="urn:schemas-microsoft-com:office:smarttags" w:element="PostalCode">
                <w:r w:rsidRPr="00774124">
                  <w:rPr>
                    <w:i/>
                  </w:rPr>
                  <w:t>Gloucestershire</w:t>
                </w:r>
              </w:smartTag>
            </w:smartTag>
            <w:r w:rsidRPr="00774124">
              <w:rPr>
                <w:i/>
              </w:rPr>
              <w:t xml:space="preserve">  </w:t>
            </w:r>
          </w:p>
          <w:p w:rsidR="004C3802" w:rsidRPr="00774124" w:rsidRDefault="004C3802" w:rsidP="00774124">
            <w:pPr>
              <w:spacing w:after="0" w:line="240" w:lineRule="auto"/>
              <w:rPr>
                <w:i/>
              </w:rPr>
            </w:pPr>
          </w:p>
          <w:p w:rsidR="004C3802" w:rsidRPr="00774124" w:rsidRDefault="004C3802" w:rsidP="00774124">
            <w:pPr>
              <w:spacing w:after="0" w:line="240" w:lineRule="auto"/>
            </w:pPr>
            <w:r w:rsidRPr="00774124">
              <w:t xml:space="preserve">The facilitators will briefly present initial results of international survey of staff educational development for community based learning, highlighting the evidence for STEM disciplines, and key points from an international literature review  before exploring the following questions: • STRATEGY: What strategic approaches to staff and educational development facilitate community-based learning activities? • STAFF SKILL NEEDS: What skills and capabilities are required for staff to participate in community-based learning?  Are energy and enthusiasm sufficient? • SUPPORTING STAFF: How can staff be supported and encouraged by their university/department to engage in community-based learning initiatives? • REWARD: How can staff commitment to community-based learning be recognised and rewarded? </w:t>
            </w:r>
          </w:p>
          <w:p w:rsidR="004C3802" w:rsidRPr="00774124" w:rsidRDefault="004C3802" w:rsidP="00774124">
            <w:pPr>
              <w:spacing w:after="0" w:line="240" w:lineRule="auto"/>
            </w:pPr>
          </w:p>
        </w:tc>
      </w:tr>
      <w:tr w:rsidR="004C3802" w:rsidRPr="00774124" w:rsidTr="00774124">
        <w:tc>
          <w:tcPr>
            <w:tcW w:w="5000" w:type="pct"/>
          </w:tcPr>
          <w:p w:rsidR="004C3802" w:rsidRPr="00774124" w:rsidRDefault="004C3802" w:rsidP="00774124">
            <w:pPr>
              <w:spacing w:after="0" w:line="240" w:lineRule="auto"/>
              <w:rPr>
                <w:b/>
                <w:i/>
              </w:rPr>
            </w:pPr>
            <w:r w:rsidRPr="00774124">
              <w:rPr>
                <w:b/>
                <w:i/>
              </w:rPr>
              <w:t xml:space="preserve">1C: </w:t>
            </w:r>
            <w:r w:rsidRPr="00774124">
              <w:rPr>
                <w:b/>
              </w:rPr>
              <w:t xml:space="preserve">Engineering community based learning at the </w:t>
            </w:r>
            <w:smartTag w:uri="urn:schemas-microsoft-com:office:smarttags" w:element="PostalCode">
              <w:smartTag w:uri="urn:schemas-microsoft-com:office:smarttags" w:element="PostalCode">
                <w:r w:rsidRPr="00774124">
                  <w:rPr>
                    <w:b/>
                  </w:rPr>
                  <w:t>University</w:t>
                </w:r>
              </w:smartTag>
              <w:r w:rsidRPr="00774124">
                <w:rPr>
                  <w:b/>
                </w:rPr>
                <w:t xml:space="preserve"> of </w:t>
              </w:r>
              <w:smartTag w:uri="urn:schemas-microsoft-com:office:smarttags" w:element="PostalCode">
                <w:r w:rsidRPr="00774124">
                  <w:rPr>
                    <w:b/>
                  </w:rPr>
                  <w:t>Bristol</w:t>
                </w:r>
              </w:smartTag>
            </w:smartTag>
          </w:p>
          <w:p w:rsidR="004C3802" w:rsidRPr="00774124" w:rsidRDefault="004C3802" w:rsidP="00774124">
            <w:pPr>
              <w:spacing w:after="0" w:line="240" w:lineRule="auto"/>
              <w:rPr>
                <w:i/>
              </w:rPr>
            </w:pPr>
            <w:r w:rsidRPr="00774124">
              <w:rPr>
                <w:i/>
              </w:rPr>
              <w:t xml:space="preserve">Dr Maggie Leggett/Kate Miller, Centre for Public Engagement, </w:t>
            </w:r>
            <w:smartTag w:uri="urn:schemas-microsoft-com:office:smarttags" w:element="PostalCode">
              <w:smartTag w:uri="urn:schemas-microsoft-com:office:smarttags" w:element="PostalCode">
                <w:r w:rsidRPr="00774124">
                  <w:rPr>
                    <w:i/>
                  </w:rPr>
                  <w:t>University</w:t>
                </w:r>
              </w:smartTag>
              <w:r w:rsidRPr="00774124">
                <w:rPr>
                  <w:i/>
                </w:rPr>
                <w:t xml:space="preserve"> of </w:t>
              </w:r>
              <w:smartTag w:uri="urn:schemas-microsoft-com:office:smarttags" w:element="PostalCode">
                <w:r w:rsidRPr="00774124">
                  <w:rPr>
                    <w:i/>
                  </w:rPr>
                  <w:t>Bristol</w:t>
                </w:r>
              </w:smartTag>
            </w:smartTag>
          </w:p>
          <w:p w:rsidR="004C3802" w:rsidRPr="00774124" w:rsidRDefault="004C3802" w:rsidP="00774124">
            <w:pPr>
              <w:spacing w:after="0" w:line="240" w:lineRule="auto"/>
              <w:rPr>
                <w:i/>
              </w:rPr>
            </w:pPr>
          </w:p>
          <w:p w:rsidR="004C3802" w:rsidRPr="00774124" w:rsidRDefault="004C3802" w:rsidP="00774124">
            <w:pPr>
              <w:spacing w:after="0" w:line="240" w:lineRule="auto"/>
              <w:rPr>
                <w:rFonts w:cs="Calibri"/>
                <w:color w:val="000000"/>
              </w:rPr>
            </w:pPr>
            <w:r w:rsidRPr="00774124">
              <w:rPr>
                <w:rFonts w:cs="Calibri"/>
                <w:color w:val="000000"/>
              </w:rPr>
              <w:t>Offering opportunities for engaged learning is becoming increasingly important, both as a valuable contributor to a university’s public engagement effort and also to offer students every opportunity for a rounded education that includes working with the community. This workshop will begin by presenting key learning and initial outcomes from a HE STEM programme which looked at creating community based learning opportunities in in engineering degrees.  We will explore the role that students can play in scoping and developing these projects with community partners, and we will present some of the initial findings from the project, looking at community, student and academic outcomes.</w:t>
            </w:r>
          </w:p>
          <w:p w:rsidR="004C3802" w:rsidRPr="00774124" w:rsidRDefault="004C3802" w:rsidP="00774124">
            <w:pPr>
              <w:spacing w:after="0" w:line="240" w:lineRule="auto"/>
              <w:rPr>
                <w:i/>
              </w:rPr>
            </w:pPr>
          </w:p>
        </w:tc>
      </w:tr>
    </w:tbl>
    <w:p w:rsidR="004C3802" w:rsidRDefault="004C3802">
      <w:r>
        <w:br w:type="page"/>
      </w:r>
    </w:p>
    <w:tbl>
      <w:tblPr>
        <w:tblW w:w="4777" w:type="pct"/>
        <w:tblInd w:w="250" w:type="dxa"/>
        <w:tblLook w:val="00A0" w:firstRow="1" w:lastRow="0" w:firstColumn="1" w:lastColumn="0" w:noHBand="0" w:noVBand="0"/>
      </w:tblPr>
      <w:tblGrid>
        <w:gridCol w:w="10206"/>
      </w:tblGrid>
      <w:tr w:rsidR="004C3802" w:rsidRPr="00774124" w:rsidTr="00774124">
        <w:tc>
          <w:tcPr>
            <w:tcW w:w="5000" w:type="pct"/>
          </w:tcPr>
          <w:p w:rsidR="004C3802" w:rsidRPr="00774124" w:rsidRDefault="004C3802" w:rsidP="00774124">
            <w:pPr>
              <w:spacing w:after="0" w:line="240" w:lineRule="auto"/>
              <w:rPr>
                <w:b/>
              </w:rPr>
            </w:pPr>
          </w:p>
        </w:tc>
      </w:tr>
      <w:tr w:rsidR="004C3802" w:rsidRPr="00774124" w:rsidTr="00774124">
        <w:tc>
          <w:tcPr>
            <w:tcW w:w="5000" w:type="pct"/>
          </w:tcPr>
          <w:p w:rsidR="004C3802" w:rsidRPr="00774124" w:rsidRDefault="004C3802" w:rsidP="00774124">
            <w:pPr>
              <w:spacing w:after="0" w:line="240" w:lineRule="auto"/>
              <w:rPr>
                <w:i/>
              </w:rPr>
            </w:pPr>
            <w:r w:rsidRPr="00774124">
              <w:rPr>
                <w:b/>
              </w:rPr>
              <w:t>Workshops 2</w:t>
            </w:r>
          </w:p>
        </w:tc>
      </w:tr>
      <w:tr w:rsidR="004C3802" w:rsidRPr="00774124" w:rsidTr="00774124">
        <w:tc>
          <w:tcPr>
            <w:tcW w:w="5000" w:type="pct"/>
          </w:tcPr>
          <w:p w:rsidR="004C3802" w:rsidRPr="00774124" w:rsidRDefault="004C3802" w:rsidP="00774124">
            <w:pPr>
              <w:spacing w:after="0" w:line="240" w:lineRule="auto"/>
              <w:rPr>
                <w:rFonts w:cs="Calibri"/>
                <w:b/>
                <w:bCs/>
                <w:color w:val="000000"/>
                <w:szCs w:val="20"/>
                <w:lang w:eastAsia="en-GB"/>
              </w:rPr>
            </w:pPr>
            <w:r w:rsidRPr="00774124">
              <w:rPr>
                <w:rFonts w:cs="Calibri"/>
                <w:b/>
                <w:i/>
                <w:color w:val="000000"/>
                <w:szCs w:val="20"/>
                <w:lang w:eastAsia="en-GB"/>
              </w:rPr>
              <w:t>2A:</w:t>
            </w:r>
            <w:r w:rsidRPr="00774124">
              <w:rPr>
                <w:rFonts w:cs="Calibri"/>
                <w:i/>
                <w:color w:val="000000"/>
                <w:szCs w:val="20"/>
                <w:lang w:eastAsia="en-GB"/>
              </w:rPr>
              <w:t xml:space="preserve"> </w:t>
            </w:r>
            <w:r w:rsidRPr="00774124">
              <w:rPr>
                <w:rFonts w:cs="Calibri"/>
                <w:b/>
                <w:bCs/>
                <w:color w:val="000000"/>
                <w:szCs w:val="20"/>
                <w:lang w:eastAsia="en-GB"/>
              </w:rPr>
              <w:t>Community Action + Knowledge Exchange; community engagement within and beyond the undergraduate curriculum</w:t>
            </w:r>
          </w:p>
          <w:p w:rsidR="004C3802" w:rsidRPr="00774124" w:rsidRDefault="004C3802" w:rsidP="00774124">
            <w:pPr>
              <w:spacing w:after="0" w:line="240" w:lineRule="auto"/>
              <w:rPr>
                <w:rFonts w:cs="Calibri"/>
                <w:i/>
                <w:color w:val="000000"/>
                <w:sz w:val="20"/>
                <w:szCs w:val="20"/>
                <w:lang w:eastAsia="en-GB"/>
              </w:rPr>
            </w:pPr>
            <w:r w:rsidRPr="00774124">
              <w:rPr>
                <w:rFonts w:cs="Calibri"/>
                <w:i/>
                <w:color w:val="000000"/>
                <w:szCs w:val="20"/>
                <w:lang w:eastAsia="en-GB"/>
              </w:rPr>
              <w:t xml:space="preserve">Dr Nick Plant, Faculty of Computer Science and Creative Technologies, University of the West of </w:t>
            </w:r>
            <w:smartTag w:uri="urn:schemas-microsoft-com:office:smarttags" w:element="PostalCode">
              <w:r w:rsidRPr="00774124">
                <w:rPr>
                  <w:rFonts w:cs="Calibri"/>
                  <w:i/>
                  <w:color w:val="000000"/>
                  <w:szCs w:val="20"/>
                  <w:lang w:eastAsia="en-GB"/>
                </w:rPr>
                <w:t>England</w:t>
              </w:r>
            </w:smartTag>
          </w:p>
          <w:p w:rsidR="004C3802" w:rsidRPr="00774124" w:rsidRDefault="004C3802" w:rsidP="00774124">
            <w:pPr>
              <w:spacing w:after="0" w:line="240" w:lineRule="auto"/>
              <w:rPr>
                <w:rFonts w:cs="Calibri"/>
                <w:b/>
                <w:i/>
                <w:color w:val="000000"/>
                <w:sz w:val="20"/>
                <w:szCs w:val="20"/>
                <w:lang w:eastAsia="en-GB"/>
              </w:rPr>
            </w:pPr>
          </w:p>
          <w:p w:rsidR="004C3802" w:rsidRPr="00774124" w:rsidRDefault="004C3802" w:rsidP="00774124">
            <w:pPr>
              <w:spacing w:after="0" w:line="240" w:lineRule="auto"/>
              <w:rPr>
                <w:rFonts w:cs="Calibri"/>
                <w:color w:val="000000"/>
                <w:lang w:eastAsia="en-GB"/>
              </w:rPr>
            </w:pPr>
            <w:r w:rsidRPr="00774124">
              <w:t xml:space="preserve">Each academic year the Computer Science and Creative Technologies faculty work with small local organisations as partners in a student consultancy scheme. Client organisations benefit from free consultancy on systems analysis, information management and strategy, web design or other ICT-related matters, in exchange for hosting a project team.  Projects vary widely - previous clients have benefited from feasibility studies on the use of ICT.  Others have involved web design and software development. Some look more broadly at enhancing organisational effectiveness through improving non-computerised organisational systems.  </w:t>
            </w:r>
            <w:r w:rsidRPr="00774124">
              <w:rPr>
                <w:rFonts w:cs="Calibri"/>
                <w:color w:val="000000"/>
                <w:lang w:eastAsia="en-GB"/>
              </w:rPr>
              <w:t xml:space="preserve">This workshop will offer a case study of an established and successful community engagement partnership for critical scrutiny by participants.  An outline of UWE’s Student Consultancy Project scheme will be provided, with practical case study examples, from the perspective of all three major stakeholders, i.e. community organisations, undergraduates and UWE.  </w:t>
            </w:r>
          </w:p>
          <w:p w:rsidR="004C3802" w:rsidRPr="00774124" w:rsidRDefault="004C3802" w:rsidP="00774124">
            <w:pPr>
              <w:spacing w:after="0" w:line="240" w:lineRule="auto"/>
              <w:rPr>
                <w:b/>
              </w:rPr>
            </w:pPr>
          </w:p>
        </w:tc>
      </w:tr>
      <w:tr w:rsidR="004C3802" w:rsidRPr="00774124" w:rsidTr="00774124">
        <w:tc>
          <w:tcPr>
            <w:tcW w:w="5000" w:type="pct"/>
          </w:tcPr>
          <w:p w:rsidR="004C3802" w:rsidRPr="00774124" w:rsidRDefault="004C3802" w:rsidP="00774124">
            <w:pPr>
              <w:spacing w:after="0" w:line="240" w:lineRule="auto"/>
              <w:rPr>
                <w:b/>
              </w:rPr>
            </w:pPr>
            <w:r w:rsidRPr="00774124">
              <w:rPr>
                <w:rFonts w:cs="Calibri"/>
                <w:b/>
                <w:i/>
                <w:color w:val="000000"/>
                <w:lang w:eastAsia="en-GB"/>
              </w:rPr>
              <w:t>2B</w:t>
            </w:r>
            <w:r w:rsidRPr="00774124">
              <w:rPr>
                <w:rFonts w:cs="Calibri"/>
                <w:i/>
                <w:color w:val="000000"/>
                <w:lang w:eastAsia="en-GB"/>
              </w:rPr>
              <w:t xml:space="preserve">: </w:t>
            </w:r>
            <w:r w:rsidRPr="00774124">
              <w:rPr>
                <w:b/>
              </w:rPr>
              <w:t>Assessing student learning from public engagement</w:t>
            </w:r>
          </w:p>
          <w:p w:rsidR="004C3802" w:rsidRPr="00774124" w:rsidRDefault="004C3802" w:rsidP="00774124">
            <w:pPr>
              <w:spacing w:after="0" w:line="240" w:lineRule="auto"/>
              <w:rPr>
                <w:rFonts w:cs="Calibri"/>
                <w:i/>
                <w:color w:val="000000"/>
                <w:lang w:eastAsia="en-GB"/>
              </w:rPr>
            </w:pPr>
            <w:r w:rsidRPr="00774124">
              <w:rPr>
                <w:rFonts w:cs="Calibri"/>
                <w:i/>
                <w:color w:val="000000"/>
                <w:lang w:eastAsia="en-GB"/>
              </w:rPr>
              <w:t>David Owen, National Co-ordinating Centre for Public Engagement; Professor Stephen Hill, Dean of Teaching and Learning, University of Gloucestershire</w:t>
            </w:r>
          </w:p>
          <w:p w:rsidR="004C3802" w:rsidRPr="00774124" w:rsidRDefault="004C3802" w:rsidP="00774124">
            <w:pPr>
              <w:spacing w:after="0" w:line="240" w:lineRule="auto"/>
              <w:rPr>
                <w:rFonts w:cs="Calibri"/>
                <w:i/>
                <w:color w:val="000000"/>
                <w:lang w:eastAsia="en-GB"/>
              </w:rPr>
            </w:pPr>
          </w:p>
          <w:p w:rsidR="004C3802" w:rsidRPr="00774124" w:rsidRDefault="004C3802" w:rsidP="00774124">
            <w:pPr>
              <w:spacing w:after="0" w:line="240" w:lineRule="auto"/>
              <w:rPr>
                <w:rFonts w:cs="Calibri"/>
                <w:color w:val="000000"/>
                <w:lang w:eastAsia="en-GB"/>
              </w:rPr>
            </w:pPr>
            <w:r w:rsidRPr="00774124">
              <w:rPr>
                <w:rFonts w:cs="Calibri"/>
                <w:color w:val="000000"/>
                <w:lang w:eastAsia="en-GB"/>
              </w:rPr>
              <w:t>There is a growing emphasis on producing graduates with capacities in knowledge co-creation, in collaborative learning and engagement with others.  Whilst there are many who use ‘live projects’ or ‘real-world’ learning as a means for developing these capacities, there are opportunities for developing curricular that further exploits the learning that arises from engagement with others.  The National Coordinating Centre for Public Engagement have developed a draft framework for supporting universities in thinking about how learning outcomes from public engagement could be further supported and assessed within the formal curriculum.  This framework consists of five key learning areas that are crucial to all forms of engagement, and provides assessment criteria for each of these areas: • Co-creation of knowledge • Managing complexity •Awareness of self and others •Communication • Reflective practice.  In this workshop we will present and invite critical reflection from participants on this framework and work to explore potential projects through which it can be applied, researched and evaluated.</w:t>
            </w:r>
          </w:p>
          <w:p w:rsidR="004C3802" w:rsidRPr="00774124" w:rsidRDefault="004C3802" w:rsidP="00774124">
            <w:pPr>
              <w:spacing w:after="0" w:line="240" w:lineRule="auto"/>
              <w:rPr>
                <w:rFonts w:cs="Calibri"/>
                <w:i/>
                <w:color w:val="000000"/>
                <w:sz w:val="20"/>
                <w:szCs w:val="20"/>
                <w:lang w:eastAsia="en-GB"/>
              </w:rPr>
            </w:pPr>
          </w:p>
        </w:tc>
      </w:tr>
      <w:tr w:rsidR="004C3802" w:rsidRPr="00774124" w:rsidTr="00774124">
        <w:tc>
          <w:tcPr>
            <w:tcW w:w="5000" w:type="pct"/>
          </w:tcPr>
          <w:p w:rsidR="004C3802" w:rsidRPr="00774124" w:rsidRDefault="004C3802" w:rsidP="00774124">
            <w:pPr>
              <w:spacing w:after="0" w:line="240" w:lineRule="auto"/>
              <w:rPr>
                <w:b/>
              </w:rPr>
            </w:pPr>
            <w:r w:rsidRPr="00774124">
              <w:rPr>
                <w:rFonts w:cs="Calibri"/>
                <w:b/>
                <w:i/>
                <w:color w:val="000000"/>
                <w:szCs w:val="20"/>
                <w:lang w:eastAsia="en-GB"/>
              </w:rPr>
              <w:t>2C</w:t>
            </w:r>
            <w:r w:rsidRPr="00774124">
              <w:rPr>
                <w:rFonts w:cs="Calibri"/>
                <w:i/>
                <w:color w:val="000000"/>
                <w:szCs w:val="20"/>
                <w:lang w:eastAsia="en-GB"/>
              </w:rPr>
              <w:t xml:space="preserve">: </w:t>
            </w:r>
            <w:r w:rsidRPr="00774124">
              <w:rPr>
                <w:b/>
              </w:rPr>
              <w:t>Learning to make a difference – student community engagement</w:t>
            </w:r>
          </w:p>
          <w:p w:rsidR="004C3802" w:rsidRPr="00774124" w:rsidRDefault="004C3802" w:rsidP="00774124">
            <w:pPr>
              <w:spacing w:after="0" w:line="240" w:lineRule="auto"/>
              <w:rPr>
                <w:rFonts w:cs="Calibri"/>
                <w:i/>
                <w:color w:val="000000"/>
                <w:sz w:val="20"/>
                <w:szCs w:val="20"/>
                <w:lang w:eastAsia="en-GB"/>
              </w:rPr>
            </w:pPr>
            <w:r w:rsidRPr="00774124">
              <w:rPr>
                <w:rFonts w:cs="Calibri"/>
                <w:i/>
                <w:color w:val="000000"/>
                <w:szCs w:val="20"/>
                <w:lang w:eastAsia="en-GB"/>
              </w:rPr>
              <w:t>Debra Vice-Holt, Community University Partnership Programme, University of Brighton</w:t>
            </w:r>
          </w:p>
          <w:p w:rsidR="004C3802" w:rsidRPr="00774124" w:rsidRDefault="004C3802" w:rsidP="00774124">
            <w:pPr>
              <w:spacing w:after="0" w:line="240" w:lineRule="auto"/>
              <w:rPr>
                <w:rFonts w:cs="Calibri"/>
                <w:color w:val="000000"/>
                <w:lang w:eastAsia="en-GB"/>
              </w:rPr>
            </w:pPr>
          </w:p>
          <w:p w:rsidR="004C3802" w:rsidRPr="00774124" w:rsidRDefault="004C3802" w:rsidP="00774124">
            <w:pPr>
              <w:spacing w:after="0" w:line="240" w:lineRule="auto"/>
              <w:rPr>
                <w:rFonts w:cs="Calibri"/>
                <w:color w:val="000000"/>
                <w:sz w:val="20"/>
                <w:szCs w:val="20"/>
                <w:lang w:eastAsia="en-GB"/>
              </w:rPr>
            </w:pPr>
            <w:r w:rsidRPr="00774124">
              <w:rPr>
                <w:rFonts w:cs="Calibri"/>
                <w:color w:val="000000"/>
                <w:lang w:eastAsia="en-GB"/>
              </w:rPr>
              <w:t xml:space="preserve">The University of Brighton delivers an optional module entitled ‘Community Participation Development’ which won second place in the </w:t>
            </w:r>
            <w:proofErr w:type="spellStart"/>
            <w:r w:rsidRPr="00774124">
              <w:rPr>
                <w:rFonts w:cs="Calibri"/>
                <w:color w:val="000000"/>
                <w:lang w:eastAsia="en-GB"/>
              </w:rPr>
              <w:t>MacJannet</w:t>
            </w:r>
            <w:proofErr w:type="spellEnd"/>
            <w:r w:rsidRPr="00774124">
              <w:rPr>
                <w:rFonts w:cs="Calibri"/>
                <w:color w:val="000000"/>
                <w:lang w:eastAsia="en-GB"/>
              </w:rPr>
              <w:t xml:space="preserve"> Prize, the </w:t>
            </w:r>
            <w:proofErr w:type="spellStart"/>
            <w:r w:rsidRPr="00774124">
              <w:rPr>
                <w:rFonts w:cs="Calibri"/>
                <w:color w:val="000000"/>
                <w:lang w:eastAsia="en-GB"/>
              </w:rPr>
              <w:t>Talloires</w:t>
            </w:r>
            <w:proofErr w:type="spellEnd"/>
            <w:r w:rsidRPr="00774124">
              <w:rPr>
                <w:rFonts w:cs="Calibri"/>
                <w:color w:val="000000"/>
                <w:lang w:eastAsia="en-GB"/>
              </w:rPr>
              <w:t xml:space="preserve"> award for global citizenship in 2011.  The module aims to provide a different experience from other teaching and allows students the opportunities to explore personal values and aspirations while undertaking a 50 hour placement within a local not for profit organisation.  This workshop aims to share the knowledge of and experience of developing and delivering student community engagement and demonstrate the importance of joint working with the Students Union in developing new student engagement projects.   As well as the significant benefits for all partners in such work there are numerous challenges and dilemmas in this area of work which the workshop aims to discuss and address for joint learning.   </w:t>
            </w:r>
          </w:p>
          <w:p w:rsidR="004C3802" w:rsidRPr="00774124" w:rsidRDefault="004C3802" w:rsidP="00774124">
            <w:pPr>
              <w:spacing w:after="0" w:line="240" w:lineRule="auto"/>
              <w:rPr>
                <w:rFonts w:cs="Calibri"/>
                <w:i/>
                <w:color w:val="000000"/>
                <w:sz w:val="20"/>
                <w:szCs w:val="20"/>
                <w:lang w:eastAsia="en-GB"/>
              </w:rPr>
            </w:pPr>
          </w:p>
        </w:tc>
      </w:tr>
    </w:tbl>
    <w:p w:rsidR="00783B7A" w:rsidRPr="002D6F32" w:rsidRDefault="004C3802" w:rsidP="00972AFA">
      <w:pPr>
        <w:rPr>
          <w:b/>
          <w:bCs/>
          <w:color w:val="08446E"/>
          <w:sz w:val="20"/>
          <w:szCs w:val="20"/>
        </w:rPr>
      </w:pPr>
      <w:r w:rsidRPr="002D6F32">
        <w:rPr>
          <w:b/>
          <w:bCs/>
          <w:color w:val="08446E"/>
          <w:sz w:val="20"/>
          <w:szCs w:val="20"/>
        </w:rPr>
        <w:t xml:space="preserve">Transport </w:t>
      </w:r>
    </w:p>
    <w:p w:rsidR="004C3802" w:rsidRPr="00783B7A" w:rsidRDefault="004C3802" w:rsidP="00972AFA">
      <w:pPr>
        <w:rPr>
          <w:b/>
          <w:bCs/>
          <w:color w:val="08446E"/>
          <w:sz w:val="20"/>
          <w:szCs w:val="20"/>
        </w:rPr>
      </w:pPr>
      <w:r w:rsidRPr="00783B7A">
        <w:rPr>
          <w:b/>
          <w:sz w:val="20"/>
          <w:szCs w:val="20"/>
        </w:rPr>
        <w:t>Aston Business School Conference Centre &amp; Hotel</w:t>
      </w:r>
      <w:r w:rsidRPr="00783B7A">
        <w:rPr>
          <w:sz w:val="20"/>
          <w:szCs w:val="20"/>
        </w:rPr>
        <w:t xml:space="preserve">, Aston University, Aston Triangle, Birmingham, B4 7ET </w:t>
      </w:r>
      <w:hyperlink r:id="rId9" w:history="1">
        <w:r w:rsidRPr="00783B7A">
          <w:rPr>
            <w:rStyle w:val="Hyperlink"/>
            <w:sz w:val="20"/>
            <w:szCs w:val="20"/>
          </w:rPr>
          <w:t>http://www.conferenceaston.co.uk/Attachments/1069_Conference%20Aston%20Venue%20and%20Hotel%20Map%20and%20Directions.pdf</w:t>
        </w:r>
      </w:hyperlink>
    </w:p>
    <w:sectPr w:rsidR="004C3802" w:rsidRPr="00783B7A" w:rsidSect="00E253D5">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802" w:rsidRDefault="004C3802">
      <w:pPr>
        <w:spacing w:after="0" w:line="240" w:lineRule="auto"/>
      </w:pPr>
      <w:r>
        <w:separator/>
      </w:r>
    </w:p>
  </w:endnote>
  <w:endnote w:type="continuationSeparator" w:id="0">
    <w:p w:rsidR="004C3802" w:rsidRDefault="004C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802" w:rsidRDefault="004C3802">
      <w:pPr>
        <w:spacing w:after="0" w:line="240" w:lineRule="auto"/>
      </w:pPr>
      <w:r>
        <w:separator/>
      </w:r>
    </w:p>
  </w:footnote>
  <w:footnote w:type="continuationSeparator" w:id="0">
    <w:p w:rsidR="004C3802" w:rsidRDefault="004C3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621"/>
      <w:gridCol w:w="4621"/>
    </w:tblGrid>
    <w:tr w:rsidR="004C3802" w:rsidRPr="00774124" w:rsidTr="00774124">
      <w:tc>
        <w:tcPr>
          <w:tcW w:w="4621" w:type="dxa"/>
        </w:tcPr>
        <w:p w:rsidR="004C3802" w:rsidRPr="00774124" w:rsidRDefault="00F057FB" w:rsidP="00774124">
          <w:pPr>
            <w:spacing w:after="0" w:line="240" w:lineRule="auto"/>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68pt;height:52.5pt;visibility:visible">
                <v:imagedata r:id="rId1" o:title=""/>
              </v:shape>
            </w:pict>
          </w:r>
        </w:p>
      </w:tc>
      <w:tc>
        <w:tcPr>
          <w:tcW w:w="4621" w:type="dxa"/>
        </w:tcPr>
        <w:p w:rsidR="004C3802" w:rsidRPr="00774124" w:rsidRDefault="00F057FB" w:rsidP="00774124">
          <w:pPr>
            <w:spacing w:after="0" w:line="240" w:lineRule="auto"/>
            <w:jc w:val="right"/>
          </w:pPr>
          <w:r>
            <w:rPr>
              <w:noProof/>
              <w:lang w:eastAsia="en-GB"/>
            </w:rPr>
            <w:pict>
              <v:shape id="Picture 1" o:spid="_x0000_i1026" type="#_x0000_t75" style="width:129pt;height:49.5pt;visibility:visible">
                <v:imagedata r:id="rId2" o:title=""/>
              </v:shape>
            </w:pict>
          </w:r>
        </w:p>
      </w:tc>
    </w:tr>
  </w:tbl>
  <w:p w:rsidR="004C3802" w:rsidRDefault="004C3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A717D"/>
    <w:multiLevelType w:val="hybridMultilevel"/>
    <w:tmpl w:val="E910CC1C"/>
    <w:lvl w:ilvl="0" w:tplc="69A44E4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6863AD"/>
    <w:multiLevelType w:val="hybridMultilevel"/>
    <w:tmpl w:val="3AB8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3A3864"/>
    <w:multiLevelType w:val="hybridMultilevel"/>
    <w:tmpl w:val="0DBE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B52095B"/>
    <w:multiLevelType w:val="hybridMultilevel"/>
    <w:tmpl w:val="01C05A7C"/>
    <w:lvl w:ilvl="0" w:tplc="F3D82F7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AFA"/>
    <w:rsid w:val="00036CCD"/>
    <w:rsid w:val="000B2326"/>
    <w:rsid w:val="000D3A7E"/>
    <w:rsid w:val="000E0130"/>
    <w:rsid w:val="001C2A18"/>
    <w:rsid w:val="001D0EF7"/>
    <w:rsid w:val="001E77C3"/>
    <w:rsid w:val="001F0F9E"/>
    <w:rsid w:val="0024788E"/>
    <w:rsid w:val="00255D2F"/>
    <w:rsid w:val="002A7D82"/>
    <w:rsid w:val="002D6F32"/>
    <w:rsid w:val="00305DD4"/>
    <w:rsid w:val="003325D2"/>
    <w:rsid w:val="00340BA4"/>
    <w:rsid w:val="003F3C6E"/>
    <w:rsid w:val="00415B9C"/>
    <w:rsid w:val="00481CF1"/>
    <w:rsid w:val="004C3802"/>
    <w:rsid w:val="00561C95"/>
    <w:rsid w:val="005A1135"/>
    <w:rsid w:val="005F5227"/>
    <w:rsid w:val="00615B75"/>
    <w:rsid w:val="006244EF"/>
    <w:rsid w:val="006844B9"/>
    <w:rsid w:val="006E0C42"/>
    <w:rsid w:val="006E5616"/>
    <w:rsid w:val="007131CC"/>
    <w:rsid w:val="00774124"/>
    <w:rsid w:val="00783B7A"/>
    <w:rsid w:val="00797950"/>
    <w:rsid w:val="007D6058"/>
    <w:rsid w:val="0087047F"/>
    <w:rsid w:val="008A204E"/>
    <w:rsid w:val="008A21DD"/>
    <w:rsid w:val="008A4D9F"/>
    <w:rsid w:val="008A7A70"/>
    <w:rsid w:val="008E04E4"/>
    <w:rsid w:val="00930E77"/>
    <w:rsid w:val="00972AFA"/>
    <w:rsid w:val="0097665E"/>
    <w:rsid w:val="009948D9"/>
    <w:rsid w:val="00A304EC"/>
    <w:rsid w:val="00B7400E"/>
    <w:rsid w:val="00C07420"/>
    <w:rsid w:val="00CD4E50"/>
    <w:rsid w:val="00D01283"/>
    <w:rsid w:val="00D13595"/>
    <w:rsid w:val="00D7005A"/>
    <w:rsid w:val="00D9496E"/>
    <w:rsid w:val="00DD28CC"/>
    <w:rsid w:val="00E253D5"/>
    <w:rsid w:val="00E27554"/>
    <w:rsid w:val="00EE25FB"/>
    <w:rsid w:val="00F057FB"/>
    <w:rsid w:val="00F21C22"/>
    <w:rsid w:val="00F51D1B"/>
    <w:rsid w:val="00F5761B"/>
    <w:rsid w:val="00F66AEF"/>
    <w:rsid w:val="00FD0C28"/>
    <w:rsid w:val="00FF5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CF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2AFA"/>
    <w:pPr>
      <w:spacing w:after="0" w:line="240" w:lineRule="auto"/>
      <w:ind w:left="720"/>
      <w:contextualSpacing/>
    </w:pPr>
  </w:style>
  <w:style w:type="paragraph" w:styleId="PlainText">
    <w:name w:val="Plain Text"/>
    <w:basedOn w:val="Normal"/>
    <w:link w:val="PlainTextChar"/>
    <w:uiPriority w:val="99"/>
    <w:semiHidden/>
    <w:rsid w:val="00972AFA"/>
    <w:pPr>
      <w:spacing w:after="0" w:line="240" w:lineRule="auto"/>
    </w:pPr>
    <w:rPr>
      <w:szCs w:val="21"/>
      <w:lang w:eastAsia="en-GB"/>
    </w:rPr>
  </w:style>
  <w:style w:type="character" w:customStyle="1" w:styleId="PlainTextChar">
    <w:name w:val="Plain Text Char"/>
    <w:basedOn w:val="DefaultParagraphFont"/>
    <w:link w:val="PlainText"/>
    <w:uiPriority w:val="99"/>
    <w:semiHidden/>
    <w:locked/>
    <w:rsid w:val="00972AFA"/>
    <w:rPr>
      <w:rFonts w:ascii="Calibri" w:hAnsi="Calibri" w:cs="Times New Roman"/>
      <w:sz w:val="21"/>
      <w:szCs w:val="21"/>
      <w:lang w:eastAsia="en-GB"/>
    </w:rPr>
  </w:style>
  <w:style w:type="table" w:styleId="TableGrid">
    <w:name w:val="Table Grid"/>
    <w:basedOn w:val="TableNormal"/>
    <w:uiPriority w:val="99"/>
    <w:rsid w:val="00972A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72AF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72AFA"/>
    <w:rPr>
      <w:rFonts w:cs="Times New Roman"/>
    </w:rPr>
  </w:style>
  <w:style w:type="character" w:styleId="Hyperlink">
    <w:name w:val="Hyperlink"/>
    <w:basedOn w:val="DefaultParagraphFont"/>
    <w:uiPriority w:val="99"/>
    <w:rsid w:val="00972AFA"/>
    <w:rPr>
      <w:rFonts w:cs="Times New Roman"/>
      <w:color w:val="0000FF"/>
      <w:u w:val="single"/>
    </w:rPr>
  </w:style>
  <w:style w:type="paragraph" w:styleId="BalloonText">
    <w:name w:val="Balloon Text"/>
    <w:basedOn w:val="Normal"/>
    <w:link w:val="BalloonTextChar"/>
    <w:uiPriority w:val="99"/>
    <w:semiHidden/>
    <w:rsid w:val="00972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2AFA"/>
    <w:rPr>
      <w:rFonts w:ascii="Tahoma" w:hAnsi="Tahoma" w:cs="Tahoma"/>
      <w:sz w:val="16"/>
      <w:szCs w:val="16"/>
    </w:rPr>
  </w:style>
  <w:style w:type="paragraph" w:styleId="NoSpacing">
    <w:name w:val="No Spacing"/>
    <w:uiPriority w:val="99"/>
    <w:qFormat/>
    <w:rsid w:val="00972AFA"/>
    <w:rPr>
      <w:lang w:eastAsia="en-US"/>
    </w:rPr>
  </w:style>
  <w:style w:type="character" w:styleId="Strong">
    <w:name w:val="Strong"/>
    <w:basedOn w:val="DefaultParagraphFont"/>
    <w:uiPriority w:val="99"/>
    <w:qFormat/>
    <w:rsid w:val="00930E77"/>
    <w:rPr>
      <w:rFonts w:cs="Times New Roman"/>
      <w:b/>
      <w:bCs/>
    </w:rPr>
  </w:style>
  <w:style w:type="character" w:styleId="Emphasis">
    <w:name w:val="Emphasis"/>
    <w:basedOn w:val="DefaultParagraphFont"/>
    <w:uiPriority w:val="99"/>
    <w:qFormat/>
    <w:rsid w:val="0024788E"/>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955289">
      <w:marLeft w:val="0"/>
      <w:marRight w:val="0"/>
      <w:marTop w:val="0"/>
      <w:marBottom w:val="0"/>
      <w:divBdr>
        <w:top w:val="none" w:sz="0" w:space="0" w:color="auto"/>
        <w:left w:val="none" w:sz="0" w:space="0" w:color="auto"/>
        <w:bottom w:val="none" w:sz="0" w:space="0" w:color="auto"/>
        <w:right w:val="none" w:sz="0" w:space="0" w:color="auto"/>
      </w:divBdr>
    </w:div>
    <w:div w:id="2050955290">
      <w:marLeft w:val="0"/>
      <w:marRight w:val="0"/>
      <w:marTop w:val="0"/>
      <w:marBottom w:val="0"/>
      <w:divBdr>
        <w:top w:val="none" w:sz="0" w:space="0" w:color="auto"/>
        <w:left w:val="none" w:sz="0" w:space="0" w:color="auto"/>
        <w:bottom w:val="none" w:sz="0" w:space="0" w:color="auto"/>
        <w:right w:val="none" w:sz="0" w:space="0" w:color="auto"/>
      </w:divBdr>
    </w:div>
    <w:div w:id="2050955291">
      <w:marLeft w:val="0"/>
      <w:marRight w:val="0"/>
      <w:marTop w:val="0"/>
      <w:marBottom w:val="0"/>
      <w:divBdr>
        <w:top w:val="none" w:sz="0" w:space="0" w:color="auto"/>
        <w:left w:val="none" w:sz="0" w:space="0" w:color="auto"/>
        <w:bottom w:val="none" w:sz="0" w:space="0" w:color="auto"/>
        <w:right w:val="none" w:sz="0" w:space="0" w:color="auto"/>
      </w:divBdr>
    </w:div>
    <w:div w:id="2050955292">
      <w:marLeft w:val="0"/>
      <w:marRight w:val="0"/>
      <w:marTop w:val="0"/>
      <w:marBottom w:val="0"/>
      <w:divBdr>
        <w:top w:val="none" w:sz="0" w:space="0" w:color="auto"/>
        <w:left w:val="none" w:sz="0" w:space="0" w:color="auto"/>
        <w:bottom w:val="none" w:sz="0" w:space="0" w:color="auto"/>
        <w:right w:val="none" w:sz="0" w:space="0" w:color="auto"/>
      </w:divBdr>
    </w:div>
    <w:div w:id="2050955293">
      <w:marLeft w:val="0"/>
      <w:marRight w:val="0"/>
      <w:marTop w:val="0"/>
      <w:marBottom w:val="0"/>
      <w:divBdr>
        <w:top w:val="none" w:sz="0" w:space="0" w:color="auto"/>
        <w:left w:val="none" w:sz="0" w:space="0" w:color="auto"/>
        <w:bottom w:val="none" w:sz="0" w:space="0" w:color="auto"/>
        <w:right w:val="none" w:sz="0" w:space="0" w:color="auto"/>
      </w:divBdr>
    </w:div>
    <w:div w:id="2050955294">
      <w:marLeft w:val="0"/>
      <w:marRight w:val="0"/>
      <w:marTop w:val="0"/>
      <w:marBottom w:val="0"/>
      <w:divBdr>
        <w:top w:val="none" w:sz="0" w:space="0" w:color="auto"/>
        <w:left w:val="none" w:sz="0" w:space="0" w:color="auto"/>
        <w:bottom w:val="none" w:sz="0" w:space="0" w:color="auto"/>
        <w:right w:val="none" w:sz="0" w:space="0" w:color="auto"/>
      </w:divBdr>
    </w:div>
    <w:div w:id="2050955295">
      <w:marLeft w:val="0"/>
      <w:marRight w:val="0"/>
      <w:marTop w:val="0"/>
      <w:marBottom w:val="0"/>
      <w:divBdr>
        <w:top w:val="none" w:sz="0" w:space="0" w:color="auto"/>
        <w:left w:val="none" w:sz="0" w:space="0" w:color="auto"/>
        <w:bottom w:val="none" w:sz="0" w:space="0" w:color="auto"/>
        <w:right w:val="none" w:sz="0" w:space="0" w:color="auto"/>
      </w:divBdr>
    </w:div>
    <w:div w:id="2050955296">
      <w:marLeft w:val="0"/>
      <w:marRight w:val="0"/>
      <w:marTop w:val="0"/>
      <w:marBottom w:val="0"/>
      <w:divBdr>
        <w:top w:val="none" w:sz="0" w:space="0" w:color="auto"/>
        <w:left w:val="none" w:sz="0" w:space="0" w:color="auto"/>
        <w:bottom w:val="none" w:sz="0" w:space="0" w:color="auto"/>
        <w:right w:val="none" w:sz="0" w:space="0" w:color="auto"/>
      </w:divBdr>
    </w:div>
    <w:div w:id="2050955297">
      <w:marLeft w:val="0"/>
      <w:marRight w:val="0"/>
      <w:marTop w:val="0"/>
      <w:marBottom w:val="0"/>
      <w:divBdr>
        <w:top w:val="none" w:sz="0" w:space="0" w:color="auto"/>
        <w:left w:val="none" w:sz="0" w:space="0" w:color="auto"/>
        <w:bottom w:val="none" w:sz="0" w:space="0" w:color="auto"/>
        <w:right w:val="none" w:sz="0" w:space="0" w:color="auto"/>
      </w:divBdr>
    </w:div>
    <w:div w:id="2050955298">
      <w:marLeft w:val="0"/>
      <w:marRight w:val="0"/>
      <w:marTop w:val="0"/>
      <w:marBottom w:val="0"/>
      <w:divBdr>
        <w:top w:val="none" w:sz="0" w:space="0" w:color="auto"/>
        <w:left w:val="none" w:sz="0" w:space="0" w:color="auto"/>
        <w:bottom w:val="none" w:sz="0" w:space="0" w:color="auto"/>
        <w:right w:val="none" w:sz="0" w:space="0" w:color="auto"/>
      </w:divBdr>
    </w:div>
    <w:div w:id="20509552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bris.ac.uk/nccpe/stem-curricul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ferenceaston.co.uk/Attachments/1069_Conference%20Aston%20Venue%20and%20Hotel%20Map%20and%20Direct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38ED6FAA.dotm</Template>
  <TotalTime>3</TotalTime>
  <Pages>4</Pages>
  <Words>1685</Words>
  <Characters>9608</Characters>
  <Application>Microsoft Office Word</Application>
  <DocSecurity>0</DocSecurity>
  <Lines>80</Lines>
  <Paragraphs>22</Paragraphs>
  <ScaleCrop>false</ScaleCrop>
  <Company>University of the West of England</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1_Mar_agenda.docx</dc:title>
  <dc:subject/>
  <dc:creator>David Owen</dc:creator>
  <cp:keywords/>
  <dc:description/>
  <cp:lastModifiedBy>Edward Stevens</cp:lastModifiedBy>
  <cp:revision>6</cp:revision>
  <cp:lastPrinted>2011-12-06T15:24:00Z</cp:lastPrinted>
  <dcterms:created xsi:type="dcterms:W3CDTF">2011-12-20T17:46:00Z</dcterms:created>
  <dcterms:modified xsi:type="dcterms:W3CDTF">2012-02-07T16:07:00Z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0x0101006F3F248EB401CB468F41D4E2ED964597</vt:lpwstr>
  </property>
</Properties>
</file>