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E3" w:rsidRPr="005817CC" w:rsidRDefault="00B30DE0">
      <w:pPr>
        <w:rPr>
          <w:rFonts w:ascii="Calibri" w:eastAsia="+mj-ea" w:hAnsi="Calibri" w:cs="+mj-cs"/>
          <w:b/>
          <w:color w:val="0070C0"/>
          <w:kern w:val="24"/>
          <w:sz w:val="48"/>
          <w:szCs w:val="48"/>
          <w:lang w:val="en-GB"/>
        </w:rPr>
      </w:pPr>
      <w:r w:rsidRPr="005817CC">
        <w:rPr>
          <w:rFonts w:ascii="Calibri" w:eastAsia="+mj-ea" w:hAnsi="Calibri" w:cs="+mj-cs"/>
          <w:b/>
          <w:color w:val="0070C0"/>
          <w:kern w:val="24"/>
          <w:sz w:val="48"/>
          <w:szCs w:val="48"/>
          <w:u w:val="single"/>
          <w:lang w:val="en-GB"/>
        </w:rPr>
        <w:t>UNDERSTANDING LEARNING</w:t>
      </w:r>
    </w:p>
    <w:p w:rsidR="005817CC" w:rsidRDefault="005817CC" w:rsidP="002206F6">
      <w:pPr>
        <w:autoSpaceDE w:val="0"/>
        <w:autoSpaceDN w:val="0"/>
        <w:adjustRightInd w:val="0"/>
        <w:spacing w:after="240"/>
        <w:jc w:val="both"/>
        <w:rPr>
          <w:color w:val="231F20"/>
          <w:sz w:val="22"/>
        </w:rPr>
      </w:pPr>
    </w:p>
    <w:p w:rsidR="00405759" w:rsidRPr="005817CC" w:rsidRDefault="002206F6" w:rsidP="002206F6">
      <w:pPr>
        <w:autoSpaceDE w:val="0"/>
        <w:autoSpaceDN w:val="0"/>
        <w:adjustRightInd w:val="0"/>
        <w:spacing w:after="240"/>
        <w:jc w:val="both"/>
        <w:rPr>
          <w:color w:val="231F20"/>
          <w:sz w:val="22"/>
        </w:rPr>
      </w:pPr>
      <w:r w:rsidRPr="005817CC">
        <w:rPr>
          <w:color w:val="231F20"/>
          <w:sz w:val="22"/>
        </w:rPr>
        <w:t xml:space="preserve">Historically, learning was seen in terms of </w:t>
      </w:r>
      <w:r w:rsidR="0048400E" w:rsidRPr="005817CC">
        <w:rPr>
          <w:color w:val="231F20"/>
          <w:sz w:val="22"/>
        </w:rPr>
        <w:t>behavior</w:t>
      </w:r>
      <w:r w:rsidR="00C614E3" w:rsidRPr="005817CC">
        <w:rPr>
          <w:color w:val="231F20"/>
          <w:sz w:val="22"/>
        </w:rPr>
        <w:t>al</w:t>
      </w:r>
      <w:r w:rsidR="00405759" w:rsidRPr="005817CC">
        <w:rPr>
          <w:color w:val="231F20"/>
          <w:sz w:val="22"/>
        </w:rPr>
        <w:t xml:space="preserve"> response</w:t>
      </w:r>
      <w:r w:rsidR="00C614E3" w:rsidRPr="005817CC">
        <w:rPr>
          <w:color w:val="231F20"/>
          <w:sz w:val="22"/>
        </w:rPr>
        <w:t>s</w:t>
      </w:r>
      <w:r w:rsidR="00405759" w:rsidRPr="005817CC">
        <w:rPr>
          <w:color w:val="231F20"/>
          <w:sz w:val="22"/>
        </w:rPr>
        <w:t xml:space="preserve"> to external stimuli.  </w:t>
      </w:r>
      <w:r w:rsidR="00B30DE0" w:rsidRPr="005817CC">
        <w:rPr>
          <w:color w:val="231F20"/>
          <w:sz w:val="22"/>
        </w:rPr>
        <w:t>There was also a</w:t>
      </w:r>
      <w:r w:rsidR="00405759" w:rsidRPr="005817CC">
        <w:rPr>
          <w:color w:val="231F20"/>
          <w:sz w:val="22"/>
        </w:rPr>
        <w:t xml:space="preserve"> tende</w:t>
      </w:r>
      <w:r w:rsidR="00B30DE0" w:rsidRPr="005817CC">
        <w:rPr>
          <w:color w:val="231F20"/>
          <w:sz w:val="22"/>
        </w:rPr>
        <w:t>ncy</w:t>
      </w:r>
      <w:r w:rsidR="00405759" w:rsidRPr="005817CC">
        <w:rPr>
          <w:color w:val="231F20"/>
          <w:sz w:val="22"/>
        </w:rPr>
        <w:t xml:space="preserve"> to separate mind from body, nature from nurture, emotions from intellect, doing from thinking, vocational from academic and so on.</w:t>
      </w:r>
    </w:p>
    <w:p w:rsidR="00405759" w:rsidRPr="005817CC" w:rsidRDefault="00405759" w:rsidP="002206F6">
      <w:pPr>
        <w:autoSpaceDE w:val="0"/>
        <w:autoSpaceDN w:val="0"/>
        <w:adjustRightInd w:val="0"/>
        <w:spacing w:after="240"/>
        <w:jc w:val="both"/>
        <w:rPr>
          <w:b/>
          <w:color w:val="231F20"/>
          <w:sz w:val="22"/>
        </w:rPr>
      </w:pPr>
      <w:r w:rsidRPr="005817CC">
        <w:rPr>
          <w:color w:val="231F20"/>
          <w:sz w:val="22"/>
        </w:rPr>
        <w:t xml:space="preserve">These days we </w:t>
      </w:r>
      <w:r w:rsidRPr="005817CC">
        <w:rPr>
          <w:color w:val="231F20"/>
          <w:sz w:val="22"/>
          <w:lang w:val="en-GB"/>
        </w:rPr>
        <w:t>recognise</w:t>
      </w:r>
      <w:r w:rsidRPr="005817CC">
        <w:rPr>
          <w:color w:val="231F20"/>
          <w:sz w:val="22"/>
        </w:rPr>
        <w:t xml:space="preserve"> that learning involves processes of change within the brain</w:t>
      </w:r>
      <w:r w:rsidR="005E2D36" w:rsidRPr="005817CC">
        <w:rPr>
          <w:color w:val="231F20"/>
          <w:sz w:val="22"/>
        </w:rPr>
        <w:t xml:space="preserve">, i.e. that </w:t>
      </w:r>
      <w:r w:rsidR="00C614E3" w:rsidRPr="005817CC">
        <w:rPr>
          <w:color w:val="231F20"/>
          <w:sz w:val="22"/>
        </w:rPr>
        <w:t>learning is internal to the student, a result of interactions between their personal attributes and experiences</w:t>
      </w:r>
      <w:r w:rsidRPr="005817CC">
        <w:rPr>
          <w:color w:val="231F20"/>
          <w:sz w:val="22"/>
        </w:rPr>
        <w:t xml:space="preserve">.  </w:t>
      </w:r>
      <w:r w:rsidR="00C614E3" w:rsidRPr="005817CC">
        <w:rPr>
          <w:color w:val="231F20"/>
          <w:sz w:val="22"/>
        </w:rPr>
        <w:t xml:space="preserve"> Modern views of learning are i</w:t>
      </w:r>
      <w:r w:rsidRPr="005817CC">
        <w:rPr>
          <w:color w:val="231F20"/>
          <w:sz w:val="22"/>
        </w:rPr>
        <w:t>ncreasingly</w:t>
      </w:r>
      <w:r w:rsidR="00C614E3" w:rsidRPr="005817CC">
        <w:rPr>
          <w:color w:val="231F20"/>
          <w:sz w:val="22"/>
        </w:rPr>
        <w:t xml:space="preserve"> making</w:t>
      </w:r>
      <w:r w:rsidRPr="005817CC">
        <w:rPr>
          <w:color w:val="231F20"/>
          <w:sz w:val="22"/>
        </w:rPr>
        <w:t xml:space="preserve"> connections between the different aspects of learning</w:t>
      </w:r>
      <w:r w:rsidR="00C614E3" w:rsidRPr="005817CC">
        <w:rPr>
          <w:color w:val="231F20"/>
          <w:sz w:val="22"/>
        </w:rPr>
        <w:t xml:space="preserve"> so that a</w:t>
      </w:r>
      <w:r w:rsidRPr="005817CC">
        <w:rPr>
          <w:color w:val="231F20"/>
          <w:sz w:val="22"/>
        </w:rPr>
        <w:t xml:space="preserve"> full and proper </w:t>
      </w:r>
      <w:r w:rsidR="00C614E3" w:rsidRPr="005817CC">
        <w:rPr>
          <w:color w:val="231F20"/>
          <w:sz w:val="22"/>
        </w:rPr>
        <w:t>21</w:t>
      </w:r>
      <w:r w:rsidR="00C614E3" w:rsidRPr="005817CC">
        <w:rPr>
          <w:color w:val="231F20"/>
          <w:sz w:val="22"/>
          <w:vertAlign w:val="superscript"/>
        </w:rPr>
        <w:t>st</w:t>
      </w:r>
      <w:r w:rsidR="005E2D36" w:rsidRPr="005817CC">
        <w:rPr>
          <w:color w:val="231F20"/>
          <w:sz w:val="22"/>
        </w:rPr>
        <w:t>-</w:t>
      </w:r>
      <w:r w:rsidR="00C614E3" w:rsidRPr="005817CC">
        <w:rPr>
          <w:color w:val="231F20"/>
          <w:sz w:val="22"/>
        </w:rPr>
        <w:t>century</w:t>
      </w:r>
      <w:r w:rsidRPr="005817CC">
        <w:rPr>
          <w:color w:val="231F20"/>
          <w:sz w:val="22"/>
        </w:rPr>
        <w:t xml:space="preserve"> understanding of learning might involve some knowledge of neuroscience, cognitive development, language and semiotics, psychology, sociology, cultural studies, organizational theory </w:t>
      </w:r>
      <w:r w:rsidR="00C614E3" w:rsidRPr="005817CC">
        <w:rPr>
          <w:color w:val="231F20"/>
          <w:sz w:val="22"/>
        </w:rPr>
        <w:t xml:space="preserve">etc … </w:t>
      </w:r>
      <w:r w:rsidR="00C614E3" w:rsidRPr="005817CC">
        <w:rPr>
          <w:b/>
          <w:color w:val="231F20"/>
          <w:sz w:val="22"/>
        </w:rPr>
        <w:t>and it would take a l</w:t>
      </w:r>
      <w:r w:rsidR="005E2D36" w:rsidRPr="005817CC">
        <w:rPr>
          <w:b/>
          <w:color w:val="231F20"/>
          <w:sz w:val="22"/>
        </w:rPr>
        <w:t>-</w:t>
      </w:r>
      <w:r w:rsidR="00C614E3" w:rsidRPr="005817CC">
        <w:rPr>
          <w:b/>
          <w:color w:val="231F20"/>
          <w:sz w:val="22"/>
        </w:rPr>
        <w:t>o</w:t>
      </w:r>
      <w:r w:rsidR="005E2D36" w:rsidRPr="005817CC">
        <w:rPr>
          <w:b/>
          <w:color w:val="231F20"/>
          <w:sz w:val="22"/>
        </w:rPr>
        <w:t>-</w:t>
      </w:r>
      <w:r w:rsidR="00C614E3" w:rsidRPr="005817CC">
        <w:rPr>
          <w:b/>
          <w:color w:val="231F20"/>
          <w:sz w:val="22"/>
        </w:rPr>
        <w:t>n</w:t>
      </w:r>
      <w:r w:rsidR="005E2D36" w:rsidRPr="005817CC">
        <w:rPr>
          <w:b/>
          <w:color w:val="231F20"/>
          <w:sz w:val="22"/>
        </w:rPr>
        <w:t>-</w:t>
      </w:r>
      <w:r w:rsidR="00C614E3" w:rsidRPr="005817CC">
        <w:rPr>
          <w:b/>
          <w:color w:val="231F20"/>
          <w:sz w:val="22"/>
        </w:rPr>
        <w:t>g lifetime to achieve!</w:t>
      </w:r>
    </w:p>
    <w:p w:rsidR="00C614E3" w:rsidRPr="005817CC" w:rsidRDefault="00C614E3" w:rsidP="0048400E">
      <w:pPr>
        <w:rPr>
          <w:sz w:val="22"/>
          <w:lang w:val="en-GB"/>
        </w:rPr>
      </w:pPr>
      <w:r w:rsidRPr="005817CC">
        <w:rPr>
          <w:sz w:val="22"/>
          <w:lang w:val="en-GB"/>
        </w:rPr>
        <w:t>Here I give the briefest outline of some theories I found helpful</w:t>
      </w:r>
      <w:r w:rsidR="001B2EE3" w:rsidRPr="005817CC">
        <w:rPr>
          <w:sz w:val="22"/>
          <w:lang w:val="en-GB"/>
        </w:rPr>
        <w:t xml:space="preserve"> to my understanding of student learning, including from placements.</w:t>
      </w:r>
    </w:p>
    <w:p w:rsidR="00A1048A" w:rsidRPr="005817CC" w:rsidRDefault="00A1048A">
      <w:pPr>
        <w:rPr>
          <w:sz w:val="22"/>
          <w:u w:val="single"/>
          <w:lang w:val="en-GB"/>
        </w:rPr>
      </w:pPr>
    </w:p>
    <w:p w:rsidR="00B30DE0" w:rsidRPr="005817CC" w:rsidRDefault="00B30DE0" w:rsidP="00EF0B17">
      <w:pPr>
        <w:pStyle w:val="BodyText"/>
        <w:rPr>
          <w:color w:val="FF0000"/>
          <w:sz w:val="22"/>
        </w:rPr>
      </w:pPr>
      <w:r w:rsidRPr="005817CC">
        <w:rPr>
          <w:b/>
          <w:color w:val="0070C0"/>
          <w:sz w:val="22"/>
          <w:u w:val="single"/>
        </w:rPr>
        <w:t>Learning as construction</w:t>
      </w:r>
      <w:r w:rsidRPr="005817CC">
        <w:rPr>
          <w:sz w:val="22"/>
        </w:rPr>
        <w:t xml:space="preserve">: </w:t>
      </w:r>
      <w:r w:rsidR="00EF0B17" w:rsidRPr="005817CC">
        <w:rPr>
          <w:sz w:val="22"/>
        </w:rPr>
        <w:t xml:space="preserve">Learning is an innate human tendency and a process of construction.  We all build personal mental models with which to understand or make sense of our experiences.  The mental constructs we build are of ever-increasing subtly and complexity throughout our lives.  New but familiar </w:t>
      </w:r>
      <w:bookmarkStart w:id="0" w:name="_GoBack"/>
      <w:bookmarkEnd w:id="0"/>
      <w:r w:rsidR="00EF0B17" w:rsidRPr="005817CC">
        <w:rPr>
          <w:sz w:val="22"/>
        </w:rPr>
        <w:t>experiences are fitted into our existing frameworks and mental equilibrium maintained but unfamiliar situations may involve complete rethinking/restructuring and altered mental frameworks.  This process of ‘dis-equilibrium’ can f</w:t>
      </w:r>
      <w:r w:rsidR="00B62014" w:rsidRPr="005817CC">
        <w:rPr>
          <w:sz w:val="22"/>
        </w:rPr>
        <w:t>eel uncomfortable (see Goswami 2008).</w:t>
      </w:r>
    </w:p>
    <w:p w:rsidR="00B30DE0" w:rsidRPr="005817CC" w:rsidRDefault="00B30DE0" w:rsidP="00B30DE0">
      <w:pPr>
        <w:rPr>
          <w:sz w:val="22"/>
          <w:lang w:val="en-GB"/>
        </w:rPr>
      </w:pPr>
    </w:p>
    <w:p w:rsidR="00B30DE0" w:rsidRPr="005817CC" w:rsidRDefault="000B088B" w:rsidP="007D58B5">
      <w:pPr>
        <w:jc w:val="both"/>
        <w:rPr>
          <w:sz w:val="22"/>
          <w:lang w:val="en-GB"/>
        </w:rPr>
      </w:pPr>
      <w:r w:rsidRPr="005817CC">
        <w:rPr>
          <w:b/>
          <w:color w:val="0070C0"/>
          <w:sz w:val="22"/>
          <w:u w:val="single"/>
          <w:lang w:val="en-GB"/>
        </w:rPr>
        <w:t>Learning from e</w:t>
      </w:r>
      <w:r w:rsidR="0048400E" w:rsidRPr="005817CC">
        <w:rPr>
          <w:b/>
          <w:color w:val="0070C0"/>
          <w:sz w:val="22"/>
          <w:u w:val="single"/>
          <w:lang w:val="en-GB"/>
        </w:rPr>
        <w:t>xperien</w:t>
      </w:r>
      <w:r w:rsidRPr="005817CC">
        <w:rPr>
          <w:b/>
          <w:color w:val="0070C0"/>
          <w:sz w:val="22"/>
          <w:u w:val="single"/>
          <w:lang w:val="en-GB"/>
        </w:rPr>
        <w:t>ce</w:t>
      </w:r>
      <w:r w:rsidR="0048400E" w:rsidRPr="005817CC">
        <w:rPr>
          <w:sz w:val="22"/>
          <w:lang w:val="en-GB"/>
        </w:rPr>
        <w:t xml:space="preserve">: </w:t>
      </w:r>
      <w:r w:rsidR="00C3329A" w:rsidRPr="005817CC">
        <w:rPr>
          <w:sz w:val="22"/>
          <w:lang w:val="en-GB"/>
        </w:rPr>
        <w:t>John Dewey felt there was an</w:t>
      </w:r>
      <w:r w:rsidR="0048400E" w:rsidRPr="005817CC">
        <w:rPr>
          <w:sz w:val="22"/>
          <w:lang w:val="en-GB"/>
        </w:rPr>
        <w:t xml:space="preserve"> ‘organic connection between education and personal experience’ but that the </w:t>
      </w:r>
      <w:r w:rsidR="0048400E" w:rsidRPr="005817CC">
        <w:rPr>
          <w:i/>
          <w:sz w:val="22"/>
          <w:lang w:val="en-GB"/>
        </w:rPr>
        <w:t>quality</w:t>
      </w:r>
      <w:r w:rsidR="00C3329A" w:rsidRPr="005817CC">
        <w:rPr>
          <w:sz w:val="22"/>
          <w:lang w:val="en-GB"/>
        </w:rPr>
        <w:t xml:space="preserve"> of the experience determined</w:t>
      </w:r>
      <w:r w:rsidR="0048400E" w:rsidRPr="005817CC">
        <w:rPr>
          <w:sz w:val="22"/>
          <w:lang w:val="en-GB"/>
        </w:rPr>
        <w:t xml:space="preserve"> whether or not educational growth and development </w:t>
      </w:r>
      <w:r w:rsidR="00C3329A" w:rsidRPr="005817CC">
        <w:rPr>
          <w:sz w:val="22"/>
          <w:lang w:val="en-GB"/>
        </w:rPr>
        <w:t xml:space="preserve">would </w:t>
      </w:r>
      <w:r w:rsidR="0048400E" w:rsidRPr="005817CC">
        <w:rPr>
          <w:sz w:val="22"/>
          <w:lang w:val="en-GB"/>
        </w:rPr>
        <w:t>occur.  In one sense, people learn from any experience but a bad experience can lead to</w:t>
      </w:r>
      <w:r w:rsidR="0008045B" w:rsidRPr="005817CC">
        <w:rPr>
          <w:sz w:val="22"/>
          <w:lang w:val="en-GB"/>
        </w:rPr>
        <w:t xml:space="preserve"> </w:t>
      </w:r>
      <w:r w:rsidR="00C3329A" w:rsidRPr="005817CC">
        <w:rPr>
          <w:sz w:val="22"/>
          <w:lang w:val="en-GB"/>
        </w:rPr>
        <w:t>l</w:t>
      </w:r>
      <w:r w:rsidR="0008045B" w:rsidRPr="005817CC">
        <w:rPr>
          <w:sz w:val="22"/>
          <w:lang w:val="en-GB"/>
        </w:rPr>
        <w:t xml:space="preserve">earning the ‘wrong’ things.  </w:t>
      </w:r>
      <w:r w:rsidR="00C3329A" w:rsidRPr="005817CC">
        <w:rPr>
          <w:sz w:val="22"/>
          <w:lang w:val="en-GB"/>
        </w:rPr>
        <w:t>He</w:t>
      </w:r>
      <w:r w:rsidR="0048400E" w:rsidRPr="005817CC">
        <w:rPr>
          <w:sz w:val="22"/>
          <w:lang w:val="en-GB"/>
        </w:rPr>
        <w:t xml:space="preserve"> called such experiences ‘mis-educative’</w:t>
      </w:r>
      <w:r w:rsidR="00B30DE0" w:rsidRPr="005817CC">
        <w:rPr>
          <w:sz w:val="22"/>
          <w:lang w:val="en-GB"/>
        </w:rPr>
        <w:t>.</w:t>
      </w:r>
      <w:r w:rsidR="0048400E" w:rsidRPr="005817CC">
        <w:rPr>
          <w:sz w:val="22"/>
          <w:lang w:val="en-GB"/>
        </w:rPr>
        <w:t xml:space="preserve"> </w:t>
      </w:r>
    </w:p>
    <w:p w:rsidR="0048400E" w:rsidRPr="005817CC" w:rsidRDefault="0048400E" w:rsidP="007D58B5">
      <w:pPr>
        <w:jc w:val="both"/>
        <w:rPr>
          <w:sz w:val="22"/>
          <w:lang w:val="en-GB"/>
        </w:rPr>
      </w:pPr>
    </w:p>
    <w:p w:rsidR="00644EC0" w:rsidRPr="005817CC" w:rsidRDefault="000B088B" w:rsidP="007D58B5">
      <w:pPr>
        <w:jc w:val="both"/>
        <w:rPr>
          <w:sz w:val="22"/>
        </w:rPr>
      </w:pPr>
      <w:r w:rsidRPr="005817CC">
        <w:rPr>
          <w:b/>
          <w:color w:val="0070C0"/>
          <w:sz w:val="22"/>
          <w:u w:val="single"/>
          <w:lang w:val="en-GB"/>
        </w:rPr>
        <w:t>L</w:t>
      </w:r>
      <w:r w:rsidR="0048400E" w:rsidRPr="005817CC">
        <w:rPr>
          <w:b/>
          <w:color w:val="0070C0"/>
          <w:sz w:val="22"/>
          <w:u w:val="single"/>
          <w:lang w:val="en-GB"/>
        </w:rPr>
        <w:t>earning cycle and styles</w:t>
      </w:r>
      <w:r w:rsidR="0048400E" w:rsidRPr="005817CC">
        <w:rPr>
          <w:sz w:val="22"/>
          <w:lang w:val="en-GB"/>
        </w:rPr>
        <w:t>: Experience is not, on its own, enough to ensure learning</w:t>
      </w:r>
      <w:r w:rsidR="00B30DE0" w:rsidRPr="005817CC">
        <w:rPr>
          <w:sz w:val="22"/>
          <w:lang w:val="en-GB"/>
        </w:rPr>
        <w:t>; we also need to think about</w:t>
      </w:r>
      <w:r w:rsidR="007D4FEB" w:rsidRPr="005817CC">
        <w:rPr>
          <w:sz w:val="22"/>
          <w:lang w:val="en-GB"/>
        </w:rPr>
        <w:t xml:space="preserve"> our experiences</w:t>
      </w:r>
      <w:r w:rsidR="0048400E" w:rsidRPr="005817CC">
        <w:rPr>
          <w:sz w:val="22"/>
          <w:lang w:val="en-GB"/>
        </w:rPr>
        <w:t xml:space="preserve">.  Kolb suggested that a cyclical process including both </w:t>
      </w:r>
      <w:r w:rsidR="007D4FEB" w:rsidRPr="005817CC">
        <w:rPr>
          <w:sz w:val="22"/>
          <w:lang w:val="en-GB"/>
        </w:rPr>
        <w:t>doing and thinking/</w:t>
      </w:r>
      <w:r w:rsidR="0048400E" w:rsidRPr="005817CC">
        <w:rPr>
          <w:sz w:val="22"/>
          <w:lang w:val="en-GB"/>
        </w:rPr>
        <w:t xml:space="preserve">experience and reflection leads to successful </w:t>
      </w:r>
      <w:r w:rsidR="00B30DE0" w:rsidRPr="005817CC">
        <w:rPr>
          <w:sz w:val="22"/>
          <w:lang w:val="en-GB"/>
        </w:rPr>
        <w:t xml:space="preserve">learning. </w:t>
      </w:r>
      <w:r w:rsidR="0048400E" w:rsidRPr="005817CC">
        <w:rPr>
          <w:sz w:val="22"/>
          <w:lang w:val="en-GB"/>
        </w:rPr>
        <w:t xml:space="preserve">  Learners tend to be stronger in some aspects of the learning cycle, weaker in others and so have differing learning styles</w:t>
      </w:r>
      <w:r w:rsidR="00B30DE0" w:rsidRPr="005817CC">
        <w:rPr>
          <w:sz w:val="22"/>
          <w:lang w:val="en-GB"/>
        </w:rPr>
        <w:t xml:space="preserve"> (Honey &amp; Mumford)</w:t>
      </w:r>
      <w:r w:rsidR="00644EC0" w:rsidRPr="005817CC">
        <w:rPr>
          <w:sz w:val="22"/>
          <w:lang w:val="en-GB"/>
        </w:rPr>
        <w:t>.</w:t>
      </w:r>
    </w:p>
    <w:p w:rsidR="0048400E" w:rsidRPr="005817CC" w:rsidRDefault="0048400E" w:rsidP="007D58B5">
      <w:pPr>
        <w:jc w:val="both"/>
        <w:rPr>
          <w:sz w:val="22"/>
          <w:lang w:val="en-GB"/>
        </w:rPr>
      </w:pPr>
    </w:p>
    <w:p w:rsidR="007D4FEB" w:rsidRPr="005817CC" w:rsidRDefault="0048400E" w:rsidP="007D58B5">
      <w:pPr>
        <w:jc w:val="both"/>
        <w:rPr>
          <w:sz w:val="22"/>
          <w:lang w:val="en-GB"/>
        </w:rPr>
      </w:pPr>
      <w:r w:rsidRPr="005817CC">
        <w:rPr>
          <w:b/>
          <w:color w:val="0070C0"/>
          <w:sz w:val="22"/>
          <w:u w:val="single"/>
          <w:lang w:val="en-GB"/>
        </w:rPr>
        <w:t>The humanist</w:t>
      </w:r>
      <w:r w:rsidR="000B088B" w:rsidRPr="005817CC">
        <w:rPr>
          <w:b/>
          <w:color w:val="0070C0"/>
          <w:sz w:val="22"/>
          <w:u w:val="single"/>
          <w:lang w:val="en-GB"/>
        </w:rPr>
        <w:t>/holistic</w:t>
      </w:r>
      <w:r w:rsidRPr="005817CC">
        <w:rPr>
          <w:b/>
          <w:color w:val="0070C0"/>
          <w:sz w:val="22"/>
          <w:u w:val="single"/>
          <w:lang w:val="en-GB"/>
        </w:rPr>
        <w:t xml:space="preserve"> view</w:t>
      </w:r>
      <w:r w:rsidR="000B088B" w:rsidRPr="005817CC">
        <w:rPr>
          <w:b/>
          <w:color w:val="0070C0"/>
          <w:sz w:val="22"/>
          <w:u w:val="single"/>
          <w:lang w:val="en-GB"/>
        </w:rPr>
        <w:t xml:space="preserve"> of learning</w:t>
      </w:r>
      <w:r w:rsidRPr="005817CC">
        <w:rPr>
          <w:sz w:val="22"/>
          <w:lang w:val="en-GB"/>
        </w:rPr>
        <w:t xml:space="preserve">: Humanists </w:t>
      </w:r>
      <w:r w:rsidR="007D4FEB" w:rsidRPr="005817CC">
        <w:rPr>
          <w:sz w:val="22"/>
          <w:lang w:val="en-GB"/>
        </w:rPr>
        <w:t xml:space="preserve">like Carl Rogers </w:t>
      </w:r>
      <w:r w:rsidRPr="005817CC">
        <w:rPr>
          <w:sz w:val="22"/>
          <w:lang w:val="en-GB"/>
        </w:rPr>
        <w:t>believe</w:t>
      </w:r>
      <w:r w:rsidR="00C3329A" w:rsidRPr="005817CC">
        <w:rPr>
          <w:sz w:val="22"/>
          <w:lang w:val="en-GB"/>
        </w:rPr>
        <w:t>d</w:t>
      </w:r>
      <w:r w:rsidRPr="005817CC">
        <w:rPr>
          <w:sz w:val="22"/>
          <w:lang w:val="en-GB"/>
        </w:rPr>
        <w:t xml:space="preserve"> that learning involves ‘both fe</w:t>
      </w:r>
      <w:r w:rsidR="009B0D8E" w:rsidRPr="005817CC">
        <w:rPr>
          <w:sz w:val="22"/>
          <w:lang w:val="en-GB"/>
        </w:rPr>
        <w:t xml:space="preserve">eling and cognitive aspects … </w:t>
      </w:r>
      <w:r w:rsidR="00222219" w:rsidRPr="005817CC">
        <w:rPr>
          <w:sz w:val="22"/>
          <w:lang w:val="en-GB"/>
        </w:rPr>
        <w:t>s</w:t>
      </w:r>
      <w:r w:rsidRPr="005817CC">
        <w:rPr>
          <w:sz w:val="22"/>
          <w:lang w:val="en-GB"/>
        </w:rPr>
        <w:t xml:space="preserve">ignificant learning combines the logical </w:t>
      </w:r>
      <w:r w:rsidRPr="005817CC">
        <w:rPr>
          <w:i/>
          <w:sz w:val="22"/>
          <w:lang w:val="en-GB"/>
        </w:rPr>
        <w:t>and</w:t>
      </w:r>
      <w:r w:rsidRPr="005817CC">
        <w:rPr>
          <w:sz w:val="22"/>
          <w:lang w:val="en-GB"/>
        </w:rPr>
        <w:t xml:space="preserve"> the intuitive, the intellect </w:t>
      </w:r>
      <w:r w:rsidRPr="005817CC">
        <w:rPr>
          <w:i/>
          <w:sz w:val="22"/>
          <w:lang w:val="en-GB"/>
        </w:rPr>
        <w:t>and</w:t>
      </w:r>
      <w:r w:rsidRPr="005817CC">
        <w:rPr>
          <w:sz w:val="22"/>
          <w:lang w:val="en-GB"/>
        </w:rPr>
        <w:t xml:space="preserve"> the feelings, the concept </w:t>
      </w:r>
      <w:r w:rsidRPr="005817CC">
        <w:rPr>
          <w:i/>
          <w:sz w:val="22"/>
          <w:lang w:val="en-GB"/>
        </w:rPr>
        <w:t>and</w:t>
      </w:r>
      <w:r w:rsidRPr="005817CC">
        <w:rPr>
          <w:sz w:val="22"/>
          <w:lang w:val="en-GB"/>
        </w:rPr>
        <w:t xml:space="preserve"> the experience, the idea </w:t>
      </w:r>
      <w:r w:rsidRPr="005817CC">
        <w:rPr>
          <w:i/>
          <w:sz w:val="22"/>
          <w:lang w:val="en-GB"/>
        </w:rPr>
        <w:t>and</w:t>
      </w:r>
      <w:r w:rsidR="00222219" w:rsidRPr="005817CC">
        <w:rPr>
          <w:sz w:val="22"/>
          <w:lang w:val="en-GB"/>
        </w:rPr>
        <w:t xml:space="preserve"> </w:t>
      </w:r>
      <w:r w:rsidR="007D4FEB" w:rsidRPr="005817CC">
        <w:rPr>
          <w:sz w:val="22"/>
          <w:lang w:val="en-GB"/>
        </w:rPr>
        <w:t>the meaning’.</w:t>
      </w:r>
    </w:p>
    <w:p w:rsidR="0011050C" w:rsidRPr="005817CC" w:rsidRDefault="007D4FEB" w:rsidP="007D58B5">
      <w:pPr>
        <w:jc w:val="both"/>
        <w:rPr>
          <w:sz w:val="22"/>
          <w:u w:val="single"/>
          <w:lang w:val="en-GB"/>
        </w:rPr>
      </w:pPr>
      <w:r w:rsidRPr="005817CC">
        <w:rPr>
          <w:sz w:val="22"/>
          <w:u w:val="single"/>
          <w:lang w:val="en-GB"/>
        </w:rPr>
        <w:t xml:space="preserve"> </w:t>
      </w:r>
    </w:p>
    <w:p w:rsidR="003B35D5" w:rsidRPr="005817CC" w:rsidRDefault="000B088B" w:rsidP="007D58B5">
      <w:pPr>
        <w:jc w:val="both"/>
        <w:rPr>
          <w:sz w:val="22"/>
        </w:rPr>
      </w:pPr>
      <w:r w:rsidRPr="005817CC">
        <w:rPr>
          <w:b/>
          <w:color w:val="0070C0"/>
          <w:sz w:val="22"/>
          <w:u w:val="single"/>
          <w:lang w:val="en-GB"/>
        </w:rPr>
        <w:t xml:space="preserve">Learning in </w:t>
      </w:r>
      <w:r w:rsidR="00E204AA" w:rsidRPr="005817CC">
        <w:rPr>
          <w:b/>
          <w:color w:val="0070C0"/>
          <w:sz w:val="22"/>
          <w:u w:val="single"/>
          <w:lang w:val="en-GB"/>
        </w:rPr>
        <w:t xml:space="preserve">Communities of </w:t>
      </w:r>
      <w:r w:rsidRPr="005817CC">
        <w:rPr>
          <w:b/>
          <w:color w:val="0070C0"/>
          <w:sz w:val="22"/>
          <w:u w:val="single"/>
          <w:lang w:val="en-GB"/>
        </w:rPr>
        <w:t>P</w:t>
      </w:r>
      <w:r w:rsidR="00E204AA" w:rsidRPr="005817CC">
        <w:rPr>
          <w:b/>
          <w:color w:val="0070C0"/>
          <w:sz w:val="22"/>
          <w:u w:val="single"/>
          <w:lang w:val="en-GB"/>
        </w:rPr>
        <w:t>ractice</w:t>
      </w:r>
      <w:r w:rsidR="00E204AA" w:rsidRPr="005817CC">
        <w:rPr>
          <w:sz w:val="22"/>
          <w:lang w:val="en-GB"/>
        </w:rPr>
        <w:t xml:space="preserve">: </w:t>
      </w:r>
      <w:r w:rsidR="0048400E" w:rsidRPr="005817CC">
        <w:rPr>
          <w:sz w:val="22"/>
          <w:lang w:val="en-GB"/>
        </w:rPr>
        <w:t>‘Communities of practice are groups of people who share a concern, a set of problems, or a passion about a topic, and who deepen their knowledge and expertise in this area by interacting on an ongoing basis’</w:t>
      </w:r>
      <w:r w:rsidR="003B35D5" w:rsidRPr="005817CC">
        <w:rPr>
          <w:sz w:val="22"/>
          <w:lang w:val="en-GB"/>
        </w:rPr>
        <w:t xml:space="preserve"> </w:t>
      </w:r>
      <w:r w:rsidR="007D4FEB" w:rsidRPr="005817CC">
        <w:rPr>
          <w:sz w:val="22"/>
          <w:lang w:val="en-GB"/>
        </w:rPr>
        <w:t>(see Wenger et al).</w:t>
      </w:r>
      <w:r w:rsidR="003B35D5" w:rsidRPr="005817CC">
        <w:rPr>
          <w:sz w:val="22"/>
          <w:lang w:val="en-GB"/>
        </w:rPr>
        <w:t xml:space="preserve"> </w:t>
      </w:r>
      <w:r w:rsidR="0048400E" w:rsidRPr="005817CC">
        <w:rPr>
          <w:sz w:val="22"/>
          <w:lang w:val="en-GB"/>
        </w:rPr>
        <w:t xml:space="preserve"> As beginners/novices move from the periphery of the new community to its centre, they become more active and engaged within the culture until they can assume the role of expert</w:t>
      </w:r>
      <w:r w:rsidR="007D4FEB" w:rsidRPr="005817CC">
        <w:rPr>
          <w:sz w:val="22"/>
          <w:lang w:val="en-GB"/>
        </w:rPr>
        <w:t xml:space="preserve"> (Lave &amp; Wenger).</w:t>
      </w:r>
      <w:r w:rsidR="007D4FEB" w:rsidRPr="005817CC">
        <w:rPr>
          <w:sz w:val="22"/>
        </w:rPr>
        <w:t xml:space="preserve"> </w:t>
      </w:r>
    </w:p>
    <w:p w:rsidR="0048400E" w:rsidRPr="005817CC" w:rsidRDefault="0048400E" w:rsidP="007D58B5">
      <w:pPr>
        <w:jc w:val="both"/>
        <w:rPr>
          <w:sz w:val="22"/>
          <w:lang w:val="en-GB"/>
        </w:rPr>
      </w:pPr>
    </w:p>
    <w:p w:rsidR="003B35D5" w:rsidRPr="005817CC" w:rsidRDefault="00BC7ED1" w:rsidP="007D58B5">
      <w:pPr>
        <w:jc w:val="both"/>
        <w:rPr>
          <w:sz w:val="22"/>
        </w:rPr>
      </w:pPr>
      <w:r w:rsidRPr="005817CC">
        <w:rPr>
          <w:b/>
          <w:color w:val="0070C0"/>
          <w:sz w:val="22"/>
          <w:u w:val="single"/>
          <w:lang w:val="en-GB"/>
        </w:rPr>
        <w:lastRenderedPageBreak/>
        <w:t>Approaches to learning</w:t>
      </w:r>
      <w:r w:rsidRPr="005817CC">
        <w:rPr>
          <w:sz w:val="22"/>
          <w:lang w:val="en-GB"/>
        </w:rPr>
        <w:t xml:space="preserve">: Recent studies </w:t>
      </w:r>
      <w:r w:rsidR="007D4FEB" w:rsidRPr="005817CC">
        <w:rPr>
          <w:sz w:val="22"/>
          <w:lang w:val="en-GB"/>
        </w:rPr>
        <w:t xml:space="preserve">by Marton &amp; </w:t>
      </w:r>
      <w:r w:rsidR="007D4FEB" w:rsidRPr="005817CC">
        <w:rPr>
          <w:sz w:val="22"/>
        </w:rPr>
        <w:t>Säljö</w:t>
      </w:r>
      <w:r w:rsidR="007D4FEB" w:rsidRPr="005817CC">
        <w:rPr>
          <w:sz w:val="22"/>
          <w:lang w:val="en-GB"/>
        </w:rPr>
        <w:t xml:space="preserve"> </w:t>
      </w:r>
      <w:r w:rsidRPr="005817CC">
        <w:rPr>
          <w:sz w:val="22"/>
          <w:lang w:val="en-GB"/>
        </w:rPr>
        <w:t xml:space="preserve">have shown that students respond to their perceptions of different learning situations by taking deep or surface approaches to their learning.  In some situations, students </w:t>
      </w:r>
      <w:r w:rsidR="004C62E5" w:rsidRPr="005817CC">
        <w:rPr>
          <w:sz w:val="22"/>
          <w:lang w:val="en-GB"/>
        </w:rPr>
        <w:t xml:space="preserve">engage with the learning activity in a meaningful way, </w:t>
      </w:r>
      <w:r w:rsidRPr="005817CC">
        <w:rPr>
          <w:sz w:val="22"/>
          <w:lang w:val="en-GB"/>
        </w:rPr>
        <w:t>seek real understanding, focus on underlying concepts and principles</w:t>
      </w:r>
      <w:r w:rsidR="004C62E5" w:rsidRPr="005817CC">
        <w:rPr>
          <w:sz w:val="22"/>
          <w:lang w:val="en-GB"/>
        </w:rPr>
        <w:t>, i.e. they adopt a deep approach.  Under these circumstances, t</w:t>
      </w:r>
      <w:r w:rsidRPr="005817CC">
        <w:rPr>
          <w:sz w:val="22"/>
          <w:lang w:val="en-GB"/>
        </w:rPr>
        <w:t>heir knowledge is internalised and remembered</w:t>
      </w:r>
      <w:r w:rsidR="004C62E5" w:rsidRPr="005817CC">
        <w:rPr>
          <w:sz w:val="22"/>
          <w:lang w:val="en-GB"/>
        </w:rPr>
        <w:t xml:space="preserve">.  In other situations, </w:t>
      </w:r>
      <w:r w:rsidRPr="005817CC">
        <w:rPr>
          <w:sz w:val="22"/>
          <w:lang w:val="en-GB"/>
        </w:rPr>
        <w:t>students do not engage with the activity and do the minimum required to get by</w:t>
      </w:r>
      <w:r w:rsidR="004C62E5" w:rsidRPr="005817CC">
        <w:rPr>
          <w:sz w:val="22"/>
          <w:lang w:val="en-GB"/>
        </w:rPr>
        <w:t>, i.e. they take a surface approach</w:t>
      </w:r>
      <w:r w:rsidRPr="005817CC">
        <w:rPr>
          <w:sz w:val="22"/>
          <w:lang w:val="en-GB"/>
        </w:rPr>
        <w:t xml:space="preserve">.  </w:t>
      </w:r>
      <w:r w:rsidR="004C62E5" w:rsidRPr="005817CC">
        <w:rPr>
          <w:sz w:val="22"/>
          <w:lang w:val="en-GB"/>
        </w:rPr>
        <w:t>Under these circumstances, t</w:t>
      </w:r>
      <w:r w:rsidRPr="005817CC">
        <w:rPr>
          <w:sz w:val="22"/>
          <w:lang w:val="en-GB"/>
        </w:rPr>
        <w:t>hey do not gain internal knowledge and what they learn is quickly forgotten.</w:t>
      </w:r>
      <w:r w:rsidR="007D4FEB" w:rsidRPr="005817CC">
        <w:rPr>
          <w:sz w:val="22"/>
        </w:rPr>
        <w:t xml:space="preserve">.  </w:t>
      </w:r>
    </w:p>
    <w:p w:rsidR="00BC7ED1" w:rsidRPr="005817CC" w:rsidRDefault="00BC7ED1" w:rsidP="007D58B5">
      <w:pPr>
        <w:jc w:val="both"/>
        <w:rPr>
          <w:sz w:val="22"/>
          <w:lang w:val="en-GB"/>
        </w:rPr>
      </w:pPr>
    </w:p>
    <w:p w:rsidR="0032097D" w:rsidRPr="005817CC" w:rsidRDefault="003B35D5" w:rsidP="007D58B5">
      <w:pPr>
        <w:jc w:val="both"/>
        <w:rPr>
          <w:sz w:val="22"/>
          <w:lang w:val="en-GB"/>
        </w:rPr>
      </w:pPr>
      <w:r w:rsidRPr="005817CC">
        <w:rPr>
          <w:b/>
          <w:color w:val="0070C0"/>
          <w:sz w:val="22"/>
          <w:u w:val="single"/>
          <w:lang w:val="en-GB"/>
        </w:rPr>
        <w:t>S</w:t>
      </w:r>
      <w:r w:rsidR="00A818CF" w:rsidRPr="005817CC">
        <w:rPr>
          <w:b/>
          <w:color w:val="0070C0"/>
          <w:sz w:val="22"/>
          <w:u w:val="single"/>
          <w:lang w:val="en-GB"/>
        </w:rPr>
        <w:t>ocio-cultural and A</w:t>
      </w:r>
      <w:r w:rsidR="002F40B7" w:rsidRPr="005817CC">
        <w:rPr>
          <w:b/>
          <w:color w:val="0070C0"/>
          <w:sz w:val="22"/>
          <w:u w:val="single"/>
          <w:lang w:val="en-GB"/>
        </w:rPr>
        <w:t xml:space="preserve">ctivity </w:t>
      </w:r>
      <w:r w:rsidR="00A818CF" w:rsidRPr="005817CC">
        <w:rPr>
          <w:b/>
          <w:color w:val="0070C0"/>
          <w:sz w:val="22"/>
          <w:u w:val="single"/>
          <w:lang w:val="en-GB"/>
        </w:rPr>
        <w:t>T</w:t>
      </w:r>
      <w:r w:rsidR="002F40B7" w:rsidRPr="005817CC">
        <w:rPr>
          <w:b/>
          <w:color w:val="0070C0"/>
          <w:sz w:val="22"/>
          <w:u w:val="single"/>
          <w:lang w:val="en-GB"/>
        </w:rPr>
        <w:t>heorie</w:t>
      </w:r>
      <w:r w:rsidR="000B088B" w:rsidRPr="005817CC">
        <w:rPr>
          <w:b/>
          <w:color w:val="0070C0"/>
          <w:sz w:val="22"/>
          <w:u w:val="single"/>
          <w:lang w:val="en-GB"/>
        </w:rPr>
        <w:t>s of learning</w:t>
      </w:r>
      <w:r w:rsidR="007756D2" w:rsidRPr="005817CC">
        <w:rPr>
          <w:sz w:val="22"/>
          <w:lang w:val="en-GB"/>
        </w:rPr>
        <w:t>: A group of Russia</w:t>
      </w:r>
      <w:r w:rsidR="002F40B7" w:rsidRPr="005817CC">
        <w:rPr>
          <w:sz w:val="22"/>
          <w:lang w:val="en-GB"/>
        </w:rPr>
        <w:t>n psychologists</w:t>
      </w:r>
      <w:r w:rsidR="007756D2" w:rsidRPr="005817CC">
        <w:rPr>
          <w:sz w:val="22"/>
          <w:lang w:val="en-GB"/>
        </w:rPr>
        <w:t xml:space="preserve"> put engagement with purposeful work at the centre of learning.  </w:t>
      </w:r>
      <w:r w:rsidR="007F1E13" w:rsidRPr="005817CC">
        <w:rPr>
          <w:sz w:val="22"/>
          <w:lang w:val="en-GB"/>
        </w:rPr>
        <w:t xml:space="preserve">I much </w:t>
      </w:r>
      <w:r w:rsidR="007D4FEB" w:rsidRPr="005817CC">
        <w:rPr>
          <w:sz w:val="22"/>
          <w:lang w:val="en-GB"/>
        </w:rPr>
        <w:t>admire the work of Vygotsky and</w:t>
      </w:r>
      <w:r w:rsidR="007F1E13" w:rsidRPr="005817CC">
        <w:rPr>
          <w:sz w:val="22"/>
          <w:lang w:val="en-GB"/>
        </w:rPr>
        <w:t xml:space="preserve"> </w:t>
      </w:r>
      <w:r w:rsidR="007D4FEB" w:rsidRPr="005817CC">
        <w:rPr>
          <w:sz w:val="22"/>
          <w:lang w:val="en-GB"/>
        </w:rPr>
        <w:t>(</w:t>
      </w:r>
      <w:r w:rsidR="007F1E13" w:rsidRPr="005817CC">
        <w:rPr>
          <w:sz w:val="22"/>
          <w:lang w:val="en-GB"/>
        </w:rPr>
        <w:t>along with that of</w:t>
      </w:r>
      <w:r w:rsidRPr="005817CC">
        <w:rPr>
          <w:sz w:val="22"/>
          <w:lang w:val="en-GB"/>
        </w:rPr>
        <w:t xml:space="preserve"> Leontiev, Luria, Bakhtin and </w:t>
      </w:r>
      <w:r w:rsidR="007F1E13" w:rsidRPr="005817CC">
        <w:rPr>
          <w:sz w:val="22"/>
          <w:lang w:val="en-GB"/>
        </w:rPr>
        <w:t>their followers</w:t>
      </w:r>
      <w:r w:rsidR="007D4FEB" w:rsidRPr="005817CC">
        <w:rPr>
          <w:sz w:val="22"/>
          <w:lang w:val="en-GB"/>
        </w:rPr>
        <w:t>)</w:t>
      </w:r>
      <w:r w:rsidR="007F1E13" w:rsidRPr="005817CC">
        <w:rPr>
          <w:sz w:val="22"/>
          <w:lang w:val="en-GB"/>
        </w:rPr>
        <w:t xml:space="preserve"> socio-cultural and activity theories are </w:t>
      </w:r>
      <w:r w:rsidR="007D4FEB" w:rsidRPr="005817CC">
        <w:rPr>
          <w:sz w:val="22"/>
          <w:lang w:val="en-GB"/>
        </w:rPr>
        <w:t xml:space="preserve">very impressive; they were also the theories that </w:t>
      </w:r>
      <w:r w:rsidR="00063D10" w:rsidRPr="005817CC">
        <w:rPr>
          <w:sz w:val="22"/>
          <w:lang w:val="en-GB"/>
        </w:rPr>
        <w:t>best explained the qualitative data provided by undergraduates</w:t>
      </w:r>
      <w:r w:rsidR="00C47DDD" w:rsidRPr="005817CC">
        <w:rPr>
          <w:sz w:val="22"/>
          <w:lang w:val="en-GB"/>
        </w:rPr>
        <w:t xml:space="preserve"> in my study</w:t>
      </w:r>
      <w:r w:rsidR="00063D10" w:rsidRPr="005817CC">
        <w:rPr>
          <w:rStyle w:val="FootnoteReference"/>
          <w:sz w:val="22"/>
          <w:lang w:val="en-GB"/>
        </w:rPr>
        <w:footnoteReference w:id="1"/>
      </w:r>
      <w:r w:rsidR="00063D10" w:rsidRPr="005817CC">
        <w:rPr>
          <w:sz w:val="22"/>
          <w:lang w:val="en-GB"/>
        </w:rPr>
        <w:t>.</w:t>
      </w:r>
      <w:r w:rsidR="007D4FEB" w:rsidRPr="005817CC">
        <w:rPr>
          <w:sz w:val="22"/>
          <w:lang w:val="en-GB"/>
        </w:rPr>
        <w:t xml:space="preserve"> </w:t>
      </w:r>
      <w:r w:rsidR="007F1E13" w:rsidRPr="005817CC">
        <w:rPr>
          <w:sz w:val="22"/>
          <w:lang w:val="en-GB"/>
        </w:rPr>
        <w:t xml:space="preserve">  The model for placement evaluation was derived from these.</w:t>
      </w:r>
    </w:p>
    <w:p w:rsidR="007756D2" w:rsidRPr="005817CC" w:rsidRDefault="0032097D" w:rsidP="007D58B5">
      <w:pPr>
        <w:jc w:val="both"/>
        <w:rPr>
          <w:sz w:val="22"/>
          <w:lang w:val="en-GB"/>
        </w:rPr>
      </w:pPr>
      <w:r w:rsidRPr="005817CC">
        <w:rPr>
          <w:sz w:val="22"/>
          <w:lang w:val="en-GB"/>
        </w:rPr>
        <w:t xml:space="preserve"> </w:t>
      </w:r>
    </w:p>
    <w:p w:rsidR="00816B02" w:rsidRPr="005817CC" w:rsidRDefault="000B088B" w:rsidP="007D58B5">
      <w:pPr>
        <w:pStyle w:val="BodyText"/>
        <w:numPr>
          <w:ilvl w:val="0"/>
          <w:numId w:val="1"/>
        </w:numPr>
        <w:rPr>
          <w:sz w:val="22"/>
        </w:rPr>
      </w:pPr>
      <w:r w:rsidRPr="005817CC">
        <w:rPr>
          <w:sz w:val="22"/>
          <w:u w:val="single"/>
        </w:rPr>
        <w:t>Activity</w:t>
      </w:r>
      <w:r w:rsidRPr="005817CC">
        <w:rPr>
          <w:sz w:val="22"/>
        </w:rPr>
        <w:t xml:space="preserve"> </w:t>
      </w:r>
      <w:r w:rsidR="00816B02" w:rsidRPr="005817CC">
        <w:rPr>
          <w:sz w:val="22"/>
        </w:rPr>
        <w:t>is seen as the most powerful promoter of learning.  However, in order to facilitate learning, students have to see their work</w:t>
      </w:r>
      <w:r w:rsidRPr="005817CC">
        <w:rPr>
          <w:sz w:val="22"/>
        </w:rPr>
        <w:t xml:space="preserve"> or activity</w:t>
      </w:r>
      <w:r w:rsidR="00816B02" w:rsidRPr="005817CC">
        <w:rPr>
          <w:sz w:val="22"/>
        </w:rPr>
        <w:t xml:space="preserve"> as worthwhile.  The specific nature of the work does not seem to matter; we learn just as long as we are engaged in work that has real purpose, regardless of the type of work.  When given interesting activities, we engage with the task in hand, adopt deep approaches trying to understand what we are doing and why.  Having only repetitive routine work, seen as boring, causes adoption of a surface approach and consequently has little beneficial effect on learning.  Tedious work can cause alienation, de-motivation and is therefore an inhibitor of learning.</w:t>
      </w:r>
    </w:p>
    <w:p w:rsidR="007756D2" w:rsidRPr="005817CC" w:rsidRDefault="00552DF1" w:rsidP="007D58B5">
      <w:pPr>
        <w:pStyle w:val="ListParagraph"/>
        <w:numPr>
          <w:ilvl w:val="0"/>
          <w:numId w:val="1"/>
        </w:numPr>
        <w:jc w:val="both"/>
        <w:rPr>
          <w:sz w:val="22"/>
          <w:lang w:val="en-GB"/>
        </w:rPr>
      </w:pPr>
      <w:r w:rsidRPr="005817CC">
        <w:rPr>
          <w:sz w:val="22"/>
          <w:lang w:val="en-GB"/>
        </w:rPr>
        <w:t>There can be considerable difference between what a learner can do alone and what they can achieve with help; i</w:t>
      </w:r>
      <w:r w:rsidR="007756D2" w:rsidRPr="005817CC">
        <w:rPr>
          <w:sz w:val="22"/>
          <w:lang w:val="en-GB"/>
        </w:rPr>
        <w:t xml:space="preserve">ntelligence is seen as the capacity to learn </w:t>
      </w:r>
      <w:r w:rsidR="0032097D" w:rsidRPr="005817CC">
        <w:rPr>
          <w:sz w:val="22"/>
          <w:lang w:val="en-GB"/>
        </w:rPr>
        <w:t>with assistance</w:t>
      </w:r>
      <w:r w:rsidR="007756D2" w:rsidRPr="005817CC">
        <w:rPr>
          <w:sz w:val="22"/>
          <w:lang w:val="en-GB"/>
        </w:rPr>
        <w:t xml:space="preserve"> from more capable mentors</w:t>
      </w:r>
      <w:r w:rsidR="00FB6CD4" w:rsidRPr="005817CC">
        <w:rPr>
          <w:sz w:val="22"/>
          <w:lang w:val="en-GB"/>
        </w:rPr>
        <w:t>/supervisors</w:t>
      </w:r>
      <w:r w:rsidR="007756D2" w:rsidRPr="005817CC">
        <w:rPr>
          <w:sz w:val="22"/>
          <w:lang w:val="en-GB"/>
        </w:rPr>
        <w:t xml:space="preserve">.  </w:t>
      </w:r>
    </w:p>
    <w:p w:rsidR="00FB6CD4" w:rsidRPr="005817CC" w:rsidRDefault="00FB6CD4" w:rsidP="00FB6CD4">
      <w:pPr>
        <w:pStyle w:val="BodyText"/>
        <w:numPr>
          <w:ilvl w:val="0"/>
          <w:numId w:val="1"/>
        </w:numPr>
        <w:rPr>
          <w:sz w:val="22"/>
        </w:rPr>
      </w:pPr>
      <w:r w:rsidRPr="005817CC">
        <w:rPr>
          <w:sz w:val="22"/>
        </w:rPr>
        <w:t xml:space="preserve">Good supervisors are available, approachable and enthusiastic; students find enthusiasm contagious.  Good </w:t>
      </w:r>
      <w:r w:rsidRPr="005817CC">
        <w:rPr>
          <w:sz w:val="22"/>
          <w:u w:val="single"/>
        </w:rPr>
        <w:t>supervision</w:t>
      </w:r>
      <w:r w:rsidRPr="005817CC">
        <w:rPr>
          <w:sz w:val="22"/>
        </w:rPr>
        <w:t xml:space="preserve"> allows students to ask questions freely and encourages dialogue.  Initially high levels of support reduce as the student gains confidence and competence.  Gradually, the student is given responsibility and becomes independent/ autonomous, often becoming an expert in the field of their placement work.  While good supervision promotes learning, students are able to learn without it (by extracting meani</w:t>
      </w:r>
      <w:r w:rsidR="00157ACD" w:rsidRPr="005817CC">
        <w:rPr>
          <w:sz w:val="22"/>
        </w:rPr>
        <w:t>ng from everything around them, their socio-cultural context, see below</w:t>
      </w:r>
      <w:r w:rsidRPr="005817CC">
        <w:rPr>
          <w:sz w:val="22"/>
        </w:rPr>
        <w:t>).  Worse than an absence of supervision may be low quality supervision as this can lead to mis-education when the student focuses on avoiding or appeasing a poor supervisor.</w:t>
      </w:r>
    </w:p>
    <w:p w:rsidR="00C47DDD" w:rsidRPr="005817CC" w:rsidRDefault="00C47DDD" w:rsidP="00C47DDD">
      <w:pPr>
        <w:pStyle w:val="BodyText"/>
        <w:numPr>
          <w:ilvl w:val="0"/>
          <w:numId w:val="1"/>
        </w:numPr>
        <w:rPr>
          <w:sz w:val="22"/>
        </w:rPr>
      </w:pPr>
      <w:r w:rsidRPr="005817CC">
        <w:rPr>
          <w:sz w:val="22"/>
          <w:u w:val="single"/>
        </w:rPr>
        <w:t>Level of work</w:t>
      </w:r>
      <w:r w:rsidRPr="005817CC">
        <w:rPr>
          <w:sz w:val="22"/>
        </w:rPr>
        <w:t>: Good supervisors give students work to do which was close to their current ability to perform but which stretches them and encourages them, with support, to advance their understanding towards the next level.  Suitable work would not, though, be so difficult as to generate excessive stress, which inhibits learning (see below).  Students should feel challenged, not terrified.</w:t>
      </w:r>
    </w:p>
    <w:p w:rsidR="00C8530B" w:rsidRPr="005817CC" w:rsidRDefault="00C8530B" w:rsidP="00157ACD">
      <w:pPr>
        <w:pStyle w:val="ListParagraph"/>
        <w:numPr>
          <w:ilvl w:val="0"/>
          <w:numId w:val="1"/>
        </w:numPr>
        <w:jc w:val="both"/>
        <w:rPr>
          <w:sz w:val="22"/>
        </w:rPr>
      </w:pPr>
      <w:r w:rsidRPr="005817CC">
        <w:rPr>
          <w:sz w:val="22"/>
          <w:lang w:val="en-GB"/>
        </w:rPr>
        <w:t xml:space="preserve">Knowledge is constructed in a </w:t>
      </w:r>
      <w:r w:rsidRPr="005817CC">
        <w:rPr>
          <w:sz w:val="22"/>
          <w:u w:val="single"/>
          <w:lang w:val="en-GB"/>
        </w:rPr>
        <w:t>social and cultural context</w:t>
      </w:r>
      <w:r w:rsidRPr="005817CC">
        <w:rPr>
          <w:sz w:val="22"/>
          <w:lang w:val="en-GB"/>
        </w:rPr>
        <w:t xml:space="preserve"> and the student’s environment provides the language and other means to help build their understanding.  </w:t>
      </w:r>
      <w:r w:rsidRPr="005817CC">
        <w:rPr>
          <w:sz w:val="22"/>
        </w:rPr>
        <w:t xml:space="preserve">Much of our learning comes about through absorbing information, directly or indirectly, from the people around us and the culture we live in.  We observe, listen, read, connect to the internet </w:t>
      </w:r>
      <w:r w:rsidR="000B088B" w:rsidRPr="005817CC">
        <w:rPr>
          <w:sz w:val="22"/>
        </w:rPr>
        <w:t xml:space="preserve">etc </w:t>
      </w:r>
      <w:r w:rsidRPr="005817CC">
        <w:rPr>
          <w:sz w:val="22"/>
        </w:rPr>
        <w:t xml:space="preserve">and, whatever the medium, we derive messages and meaning from it.  Most of us are experts at meaning-making, even when the signs are </w:t>
      </w:r>
      <w:r w:rsidR="0074087E" w:rsidRPr="005817CC">
        <w:rPr>
          <w:sz w:val="22"/>
        </w:rPr>
        <w:t xml:space="preserve">non-verbal and </w:t>
      </w:r>
      <w:r w:rsidRPr="005817CC">
        <w:rPr>
          <w:sz w:val="22"/>
        </w:rPr>
        <w:t xml:space="preserve">very subtle, and the messages we derive from our environment may be positive or negative.  For example, a </w:t>
      </w:r>
      <w:r w:rsidRPr="005817CC">
        <w:rPr>
          <w:sz w:val="22"/>
        </w:rPr>
        <w:lastRenderedPageBreak/>
        <w:t>placement supervisor signalled his pride in one student’s achievement by providing beer at work; a university tutor inadvertently allowed a student to feel that she was a nuisance when she saw his face fall as she approached.</w:t>
      </w:r>
    </w:p>
    <w:p w:rsidR="00C47DDD" w:rsidRPr="005817CC" w:rsidRDefault="00C8530B" w:rsidP="00157ACD">
      <w:pPr>
        <w:pStyle w:val="BodyText"/>
        <w:numPr>
          <w:ilvl w:val="0"/>
          <w:numId w:val="1"/>
        </w:numPr>
        <w:rPr>
          <w:sz w:val="22"/>
        </w:rPr>
      </w:pPr>
      <w:r w:rsidRPr="005817CC">
        <w:rPr>
          <w:sz w:val="22"/>
        </w:rPr>
        <w:t xml:space="preserve">The overall culture or atmosphere within a placement has a significant influence on the learning outcomes reported by students.  Students equated situations that were ‘chilled and relaxed’ with high motivation and high achievement.  In contrast, highly competitive environments and colleagues who valued personal over team success </w:t>
      </w:r>
      <w:r w:rsidR="007D58B5" w:rsidRPr="005817CC">
        <w:rPr>
          <w:sz w:val="22"/>
        </w:rPr>
        <w:t>made students feel uncomfortable and influenced their future career choices away from postgraduate studies or science in general.</w:t>
      </w:r>
    </w:p>
    <w:p w:rsidR="008E67AB" w:rsidRPr="005817CC" w:rsidRDefault="008E67AB" w:rsidP="00157ACD">
      <w:pPr>
        <w:pStyle w:val="BodyText"/>
        <w:numPr>
          <w:ilvl w:val="0"/>
          <w:numId w:val="1"/>
        </w:numPr>
        <w:rPr>
          <w:sz w:val="22"/>
        </w:rPr>
      </w:pPr>
      <w:r w:rsidRPr="005817CC">
        <w:rPr>
          <w:sz w:val="22"/>
          <w:u w:val="single"/>
        </w:rPr>
        <w:t>Learning Outcomes</w:t>
      </w:r>
      <w:r w:rsidRPr="005817CC">
        <w:rPr>
          <w:sz w:val="22"/>
        </w:rPr>
        <w:t xml:space="preserve"> achieved by students vary</w:t>
      </w:r>
      <w:r w:rsidR="00EB292D" w:rsidRPr="005817CC">
        <w:rPr>
          <w:sz w:val="22"/>
        </w:rPr>
        <w:t xml:space="preserve"> considerably</w:t>
      </w:r>
      <w:r w:rsidRPr="005817CC">
        <w:rPr>
          <w:sz w:val="22"/>
        </w:rPr>
        <w:t xml:space="preserve">, depending on their learning activity, the support they receive and their individual profiles of ability, prior experience, attitudes and so forth.  They are the result of complex interactions between the student’s </w:t>
      </w:r>
      <w:r w:rsidR="00ED1338" w:rsidRPr="005817CC">
        <w:rPr>
          <w:sz w:val="22"/>
        </w:rPr>
        <w:t xml:space="preserve">inherent </w:t>
      </w:r>
      <w:r w:rsidRPr="005817CC">
        <w:rPr>
          <w:sz w:val="22"/>
        </w:rPr>
        <w:t xml:space="preserve">nature and the experiences they encounter in their particular cultural context.  </w:t>
      </w:r>
      <w:r w:rsidR="00ED1338" w:rsidRPr="005817CC">
        <w:rPr>
          <w:sz w:val="22"/>
        </w:rPr>
        <w:t xml:space="preserve">Different students and/or different learning situations result in very different learning outcomes.  </w:t>
      </w:r>
      <w:r w:rsidRPr="005817CC">
        <w:rPr>
          <w:sz w:val="22"/>
        </w:rPr>
        <w:t>William Perry s</w:t>
      </w:r>
      <w:r w:rsidR="00EB292D" w:rsidRPr="005817CC">
        <w:rPr>
          <w:sz w:val="22"/>
        </w:rPr>
        <w:t xml:space="preserve">tudied college students at Harvard and produced a hierarchy of </w:t>
      </w:r>
      <w:r w:rsidR="009A3242" w:rsidRPr="005817CC">
        <w:rPr>
          <w:sz w:val="22"/>
        </w:rPr>
        <w:t xml:space="preserve">nine stages of intellectual and ethical development </w:t>
      </w:r>
      <w:r w:rsidR="00ED1338" w:rsidRPr="005817CC">
        <w:rPr>
          <w:sz w:val="22"/>
        </w:rPr>
        <w:t>that students may achieve</w:t>
      </w:r>
      <w:r w:rsidR="00EB292D" w:rsidRPr="005817CC">
        <w:rPr>
          <w:sz w:val="22"/>
        </w:rPr>
        <w:t>.</w:t>
      </w:r>
    </w:p>
    <w:p w:rsidR="00C47DDD" w:rsidRPr="005817CC" w:rsidRDefault="00C47DDD" w:rsidP="00157ACD">
      <w:pPr>
        <w:jc w:val="both"/>
        <w:rPr>
          <w:sz w:val="22"/>
          <w:lang w:val="en-GB"/>
        </w:rPr>
      </w:pPr>
    </w:p>
    <w:p w:rsidR="00063D10" w:rsidRPr="005817CC" w:rsidRDefault="00063D10" w:rsidP="00157ACD">
      <w:pPr>
        <w:jc w:val="both"/>
        <w:rPr>
          <w:sz w:val="22"/>
          <w:lang w:val="en-GB"/>
        </w:rPr>
      </w:pPr>
      <w:r w:rsidRPr="005817CC">
        <w:rPr>
          <w:sz w:val="22"/>
          <w:lang w:val="en-GB"/>
        </w:rPr>
        <w:t xml:space="preserve">See </w:t>
      </w:r>
      <w:r w:rsidR="009B0D8E" w:rsidRPr="005817CC">
        <w:rPr>
          <w:sz w:val="22"/>
        </w:rPr>
        <w:t xml:space="preserve">Vygotsky, also </w:t>
      </w:r>
      <w:r w:rsidR="00D36337" w:rsidRPr="005817CC">
        <w:rPr>
          <w:sz w:val="22"/>
        </w:rPr>
        <w:t xml:space="preserve">Daniels, </w:t>
      </w:r>
      <w:r w:rsidRPr="005817CC">
        <w:rPr>
          <w:sz w:val="22"/>
        </w:rPr>
        <w:t>Engeström, Miettinen &amp; Punamaki.</w:t>
      </w:r>
    </w:p>
    <w:p w:rsidR="00A745B1" w:rsidRPr="005817CC" w:rsidRDefault="00A745B1" w:rsidP="00157ACD">
      <w:pPr>
        <w:jc w:val="both"/>
        <w:rPr>
          <w:sz w:val="22"/>
          <w:lang w:val="en-GB"/>
        </w:rPr>
      </w:pPr>
    </w:p>
    <w:p w:rsidR="007A7A04" w:rsidRPr="005817CC" w:rsidRDefault="007A7A04" w:rsidP="00157ACD">
      <w:pPr>
        <w:jc w:val="both"/>
        <w:rPr>
          <w:sz w:val="22"/>
          <w:lang w:val="en-GB"/>
        </w:rPr>
      </w:pPr>
      <w:r w:rsidRPr="005817CC">
        <w:rPr>
          <w:b/>
          <w:color w:val="0070C0"/>
          <w:sz w:val="22"/>
          <w:u w:val="single"/>
          <w:lang w:val="en-GB"/>
        </w:rPr>
        <w:t>Neuroscience</w:t>
      </w:r>
      <w:r w:rsidRPr="005817CC">
        <w:rPr>
          <w:sz w:val="22"/>
          <w:lang w:val="en-GB"/>
        </w:rPr>
        <w:t xml:space="preserve">: </w:t>
      </w:r>
      <w:r w:rsidR="007F1E13" w:rsidRPr="005817CC">
        <w:rPr>
          <w:sz w:val="22"/>
          <w:lang w:val="en-GB"/>
        </w:rPr>
        <w:t>this new</w:t>
      </w:r>
      <w:r w:rsidR="00552DF1" w:rsidRPr="005817CC">
        <w:rPr>
          <w:sz w:val="22"/>
          <w:lang w:val="en-GB"/>
        </w:rPr>
        <w:t xml:space="preserve"> area</w:t>
      </w:r>
      <w:r w:rsidR="00ED1338" w:rsidRPr="005817CC">
        <w:rPr>
          <w:sz w:val="22"/>
          <w:lang w:val="en-GB"/>
        </w:rPr>
        <w:t xml:space="preserve"> and modern techniques of scientific imaging are</w:t>
      </w:r>
      <w:r w:rsidR="00552DF1" w:rsidRPr="005817CC">
        <w:rPr>
          <w:sz w:val="22"/>
          <w:lang w:val="en-GB"/>
        </w:rPr>
        <w:t xml:space="preserve"> beginning to explore relationships </w:t>
      </w:r>
      <w:r w:rsidR="00ED1338" w:rsidRPr="005817CC">
        <w:rPr>
          <w:sz w:val="22"/>
          <w:lang w:val="en-GB"/>
        </w:rPr>
        <w:t xml:space="preserve">between learning and the </w:t>
      </w:r>
      <w:r w:rsidRPr="005817CC">
        <w:rPr>
          <w:sz w:val="22"/>
          <w:lang w:val="en-GB"/>
        </w:rPr>
        <w:t>science</w:t>
      </w:r>
      <w:r w:rsidR="00ED1338" w:rsidRPr="005817CC">
        <w:rPr>
          <w:sz w:val="22"/>
          <w:lang w:val="en-GB"/>
        </w:rPr>
        <w:t xml:space="preserve"> of the brain</w:t>
      </w:r>
      <w:r w:rsidRPr="005817CC">
        <w:rPr>
          <w:sz w:val="22"/>
          <w:lang w:val="en-GB"/>
        </w:rPr>
        <w:t>.</w:t>
      </w:r>
      <w:r w:rsidR="00A818CF" w:rsidRPr="005817CC">
        <w:rPr>
          <w:sz w:val="22"/>
          <w:lang w:val="en-GB"/>
        </w:rPr>
        <w:t xml:space="preserve">  Some studies look at genetics and some at ways in which the brain is influenced and altered by external events. </w:t>
      </w:r>
    </w:p>
    <w:p w:rsidR="00552DF1" w:rsidRPr="005817CC" w:rsidRDefault="00552DF1" w:rsidP="00157ACD">
      <w:pPr>
        <w:jc w:val="both"/>
        <w:rPr>
          <w:sz w:val="22"/>
          <w:lang w:val="en-GB"/>
        </w:rPr>
      </w:pPr>
    </w:p>
    <w:p w:rsidR="00837D34" w:rsidRPr="005817CC" w:rsidRDefault="007A7A04" w:rsidP="00F679E4">
      <w:pPr>
        <w:pStyle w:val="ListParagraph"/>
        <w:numPr>
          <w:ilvl w:val="0"/>
          <w:numId w:val="2"/>
        </w:numPr>
        <w:ind w:left="360"/>
        <w:jc w:val="both"/>
        <w:rPr>
          <w:sz w:val="22"/>
          <w:lang w:val="en-GB"/>
        </w:rPr>
      </w:pPr>
      <w:r w:rsidRPr="005817CC">
        <w:rPr>
          <w:sz w:val="22"/>
          <w:lang w:val="en-GB"/>
        </w:rPr>
        <w:t xml:space="preserve">Different types of knowledge </w:t>
      </w:r>
      <w:r w:rsidR="00A1048A" w:rsidRPr="005817CC">
        <w:rPr>
          <w:sz w:val="22"/>
          <w:lang w:val="en-GB"/>
        </w:rPr>
        <w:t xml:space="preserve">can be associated with different brain regions.  </w:t>
      </w:r>
    </w:p>
    <w:p w:rsidR="00B30DE0" w:rsidRPr="005817CC" w:rsidRDefault="00B30DE0" w:rsidP="00157ACD">
      <w:pPr>
        <w:pStyle w:val="ListParagraph"/>
        <w:numPr>
          <w:ilvl w:val="0"/>
          <w:numId w:val="2"/>
        </w:numPr>
        <w:ind w:left="360"/>
        <w:jc w:val="both"/>
        <w:rPr>
          <w:sz w:val="22"/>
          <w:lang w:val="en-GB"/>
        </w:rPr>
      </w:pPr>
      <w:r w:rsidRPr="005817CC">
        <w:rPr>
          <w:sz w:val="22"/>
          <w:lang w:val="en-GB"/>
        </w:rPr>
        <w:t xml:space="preserve">Our brains adapt in response to experience, with some </w:t>
      </w:r>
      <w:r w:rsidR="00F679E4" w:rsidRPr="005817CC">
        <w:rPr>
          <w:sz w:val="22"/>
          <w:lang w:val="en-GB"/>
        </w:rPr>
        <w:t xml:space="preserve">nerve </w:t>
      </w:r>
      <w:r w:rsidRPr="005817CC">
        <w:rPr>
          <w:sz w:val="22"/>
          <w:lang w:val="en-GB"/>
        </w:rPr>
        <w:t xml:space="preserve">pathways </w:t>
      </w:r>
      <w:r w:rsidR="00F679E4" w:rsidRPr="005817CC">
        <w:rPr>
          <w:sz w:val="22"/>
          <w:lang w:val="en-GB"/>
        </w:rPr>
        <w:t xml:space="preserve">enhanced </w:t>
      </w:r>
      <w:r w:rsidRPr="005817CC">
        <w:rPr>
          <w:sz w:val="22"/>
          <w:lang w:val="en-GB"/>
        </w:rPr>
        <w:t>(firing and wiring together) and some pruned away.</w:t>
      </w:r>
    </w:p>
    <w:p w:rsidR="007A7A04" w:rsidRPr="005817CC" w:rsidRDefault="00F679E4" w:rsidP="00157ACD">
      <w:pPr>
        <w:pStyle w:val="ListParagraph"/>
        <w:numPr>
          <w:ilvl w:val="0"/>
          <w:numId w:val="2"/>
        </w:numPr>
        <w:ind w:left="360"/>
        <w:jc w:val="both"/>
        <w:rPr>
          <w:sz w:val="22"/>
          <w:lang w:val="en-GB"/>
        </w:rPr>
      </w:pPr>
      <w:r w:rsidRPr="005817CC">
        <w:rPr>
          <w:sz w:val="22"/>
          <w:lang w:val="en-GB"/>
        </w:rPr>
        <w:t>Neural</w:t>
      </w:r>
      <w:r w:rsidR="007A7A04" w:rsidRPr="005817CC">
        <w:rPr>
          <w:sz w:val="22"/>
          <w:lang w:val="en-GB"/>
        </w:rPr>
        <w:t xml:space="preserve"> pathways are strengthened by repetition</w:t>
      </w:r>
      <w:r w:rsidR="00B30DE0" w:rsidRPr="005817CC">
        <w:rPr>
          <w:sz w:val="22"/>
          <w:lang w:val="en-GB"/>
        </w:rPr>
        <w:t xml:space="preserve"> (i.e. you need to practice what you are learning)</w:t>
      </w:r>
      <w:r w:rsidR="0050702D" w:rsidRPr="005817CC">
        <w:rPr>
          <w:sz w:val="22"/>
          <w:lang w:val="en-GB"/>
        </w:rPr>
        <w:t>.</w:t>
      </w:r>
    </w:p>
    <w:p w:rsidR="002E7820" w:rsidRPr="005817CC" w:rsidRDefault="002E7820" w:rsidP="00157ACD">
      <w:pPr>
        <w:pStyle w:val="ListParagraph"/>
        <w:numPr>
          <w:ilvl w:val="0"/>
          <w:numId w:val="2"/>
        </w:numPr>
        <w:ind w:left="360"/>
        <w:jc w:val="both"/>
        <w:rPr>
          <w:sz w:val="22"/>
          <w:lang w:val="en-GB"/>
        </w:rPr>
      </w:pPr>
      <w:r w:rsidRPr="005817CC">
        <w:rPr>
          <w:sz w:val="22"/>
        </w:rPr>
        <w:t>Taxi drivers gaining ‘The Knowledge’ of London routes have been shown to have enlarged hippocampus formations, with the level of enlargement correlated to their time spent driving</w:t>
      </w:r>
      <w:r w:rsidR="00B62014" w:rsidRPr="005817CC">
        <w:rPr>
          <w:sz w:val="22"/>
        </w:rPr>
        <w:t xml:space="preserve"> (Goswami 2004)</w:t>
      </w:r>
      <w:r w:rsidR="0050702D" w:rsidRPr="005817CC">
        <w:rPr>
          <w:sz w:val="22"/>
        </w:rPr>
        <w:t>.</w:t>
      </w:r>
      <w:r w:rsidRPr="005817CC">
        <w:rPr>
          <w:sz w:val="22"/>
          <w:lang w:val="en-GB"/>
        </w:rPr>
        <w:t xml:space="preserve"> </w:t>
      </w:r>
    </w:p>
    <w:p w:rsidR="007A7A04" w:rsidRPr="005817CC" w:rsidRDefault="007A7A04" w:rsidP="00157ACD">
      <w:pPr>
        <w:pStyle w:val="ListParagraph"/>
        <w:numPr>
          <w:ilvl w:val="0"/>
          <w:numId w:val="2"/>
        </w:numPr>
        <w:ind w:left="360"/>
        <w:jc w:val="both"/>
        <w:rPr>
          <w:sz w:val="22"/>
          <w:lang w:val="en-GB"/>
        </w:rPr>
      </w:pPr>
      <w:r w:rsidRPr="005817CC">
        <w:rPr>
          <w:sz w:val="22"/>
          <w:lang w:val="en-GB"/>
        </w:rPr>
        <w:t>The limbic system, involved in pleasur</w:t>
      </w:r>
      <w:r w:rsidR="007F1E13" w:rsidRPr="005817CC">
        <w:rPr>
          <w:sz w:val="22"/>
          <w:lang w:val="en-GB"/>
        </w:rPr>
        <w:t>e and other emotions, can be shown to have</w:t>
      </w:r>
      <w:r w:rsidR="00552DF1" w:rsidRPr="005817CC">
        <w:rPr>
          <w:sz w:val="22"/>
          <w:lang w:val="en-GB"/>
        </w:rPr>
        <w:t xml:space="preserve"> a strong influence</w:t>
      </w:r>
      <w:r w:rsidRPr="005817CC">
        <w:rPr>
          <w:sz w:val="22"/>
          <w:lang w:val="en-GB"/>
        </w:rPr>
        <w:t xml:space="preserve"> </w:t>
      </w:r>
      <w:r w:rsidR="00552DF1" w:rsidRPr="005817CC">
        <w:rPr>
          <w:sz w:val="22"/>
          <w:lang w:val="en-GB"/>
        </w:rPr>
        <w:t xml:space="preserve">on </w:t>
      </w:r>
      <w:r w:rsidRPr="005817CC">
        <w:rPr>
          <w:sz w:val="22"/>
          <w:lang w:val="en-GB"/>
        </w:rPr>
        <w:t>learning</w:t>
      </w:r>
      <w:r w:rsidR="0050702D" w:rsidRPr="005817CC">
        <w:rPr>
          <w:sz w:val="22"/>
          <w:lang w:val="en-GB"/>
        </w:rPr>
        <w:t>.</w:t>
      </w:r>
      <w:r w:rsidR="00837D34" w:rsidRPr="005817CC">
        <w:rPr>
          <w:sz w:val="22"/>
          <w:lang w:val="en-GB"/>
        </w:rPr>
        <w:t xml:space="preserve">  A state of relaxed attention promotes learning while e</w:t>
      </w:r>
      <w:r w:rsidRPr="005817CC">
        <w:rPr>
          <w:sz w:val="22"/>
          <w:lang w:val="en-GB"/>
        </w:rPr>
        <w:t>xcessive stress interferes with pathways in the limbic system</w:t>
      </w:r>
      <w:r w:rsidR="00837D34" w:rsidRPr="005817CC">
        <w:rPr>
          <w:sz w:val="22"/>
          <w:lang w:val="en-GB"/>
        </w:rPr>
        <w:t xml:space="preserve"> to inhibit learning.</w:t>
      </w:r>
    </w:p>
    <w:p w:rsidR="0050702D" w:rsidRPr="005817CC" w:rsidRDefault="0050702D" w:rsidP="00157ACD">
      <w:pPr>
        <w:pStyle w:val="ListParagraph"/>
        <w:ind w:left="360"/>
        <w:jc w:val="both"/>
        <w:rPr>
          <w:sz w:val="22"/>
          <w:lang w:val="en-GB"/>
        </w:rPr>
      </w:pPr>
    </w:p>
    <w:p w:rsidR="00FA0D62" w:rsidRPr="005817CC" w:rsidRDefault="00837D34" w:rsidP="00837D34">
      <w:pPr>
        <w:pStyle w:val="ListParagraph"/>
        <w:ind w:left="0"/>
        <w:jc w:val="both"/>
        <w:rPr>
          <w:sz w:val="22"/>
          <w:lang w:val="en-GB"/>
        </w:rPr>
      </w:pPr>
      <w:r w:rsidRPr="005817CC">
        <w:rPr>
          <w:sz w:val="22"/>
          <w:lang w:val="en-GB"/>
        </w:rPr>
        <w:t>See</w:t>
      </w:r>
      <w:r w:rsidR="00AB3558" w:rsidRPr="005817CC">
        <w:rPr>
          <w:sz w:val="22"/>
          <w:lang w:val="en-GB"/>
        </w:rPr>
        <w:t xml:space="preserve"> </w:t>
      </w:r>
      <w:r w:rsidR="0050702D" w:rsidRPr="005817CC">
        <w:rPr>
          <w:sz w:val="22"/>
          <w:lang w:val="en-GB"/>
        </w:rPr>
        <w:t xml:space="preserve"> </w:t>
      </w:r>
      <w:r w:rsidR="00B62014" w:rsidRPr="005817CC">
        <w:rPr>
          <w:sz w:val="22"/>
          <w:lang w:val="en-GB"/>
        </w:rPr>
        <w:t xml:space="preserve">Damasio, </w:t>
      </w:r>
      <w:r w:rsidRPr="005817CC">
        <w:rPr>
          <w:sz w:val="22"/>
          <w:lang w:val="en-GB"/>
        </w:rPr>
        <w:t>Goswami</w:t>
      </w:r>
      <w:r w:rsidR="00FA0D62" w:rsidRPr="005817CC">
        <w:rPr>
          <w:sz w:val="22"/>
          <w:lang w:val="en-GB"/>
        </w:rPr>
        <w:t xml:space="preserve"> and Turner &amp; Curran.</w:t>
      </w:r>
    </w:p>
    <w:p w:rsidR="003B20CC" w:rsidRPr="005817CC" w:rsidRDefault="00FA0D62" w:rsidP="00837D34">
      <w:pPr>
        <w:pStyle w:val="ListParagraph"/>
        <w:ind w:left="0"/>
        <w:jc w:val="both"/>
        <w:rPr>
          <w:sz w:val="22"/>
          <w:lang w:val="en-GB"/>
        </w:rPr>
      </w:pPr>
      <w:r w:rsidRPr="005817CC">
        <w:rPr>
          <w:sz w:val="22"/>
          <w:lang w:val="en-GB"/>
        </w:rPr>
        <w:t xml:space="preserve"> </w:t>
      </w:r>
    </w:p>
    <w:p w:rsidR="00337914" w:rsidRPr="005817CC" w:rsidRDefault="00157ACD" w:rsidP="00FA0D62">
      <w:pPr>
        <w:jc w:val="both"/>
        <w:rPr>
          <w:sz w:val="22"/>
        </w:rPr>
      </w:pPr>
      <w:r w:rsidRPr="005817CC">
        <w:rPr>
          <w:b/>
          <w:color w:val="0070C0"/>
          <w:sz w:val="22"/>
          <w:u w:val="single"/>
        </w:rPr>
        <w:t>Theories of Action</w:t>
      </w:r>
      <w:r w:rsidRPr="005817CC">
        <w:rPr>
          <w:sz w:val="22"/>
        </w:rPr>
        <w:t xml:space="preserve">: </w:t>
      </w:r>
      <w:r w:rsidR="00837D34" w:rsidRPr="005817CC">
        <w:rPr>
          <w:sz w:val="22"/>
        </w:rPr>
        <w:t xml:space="preserve">Argyris &amp; Schön </w:t>
      </w:r>
      <w:r w:rsidR="00D36337" w:rsidRPr="005817CC">
        <w:rPr>
          <w:sz w:val="22"/>
        </w:rPr>
        <w:t>point</w:t>
      </w:r>
      <w:r w:rsidR="00A818CF" w:rsidRPr="005817CC">
        <w:rPr>
          <w:sz w:val="22"/>
        </w:rPr>
        <w:t>ed</w:t>
      </w:r>
      <w:r w:rsidR="00D36337" w:rsidRPr="005817CC">
        <w:rPr>
          <w:sz w:val="22"/>
        </w:rPr>
        <w:t xml:space="preserve"> out</w:t>
      </w:r>
      <w:r w:rsidR="000A6168" w:rsidRPr="005817CC">
        <w:rPr>
          <w:sz w:val="22"/>
        </w:rPr>
        <w:t xml:space="preserve"> that </w:t>
      </w:r>
      <w:r w:rsidR="00D36337" w:rsidRPr="005817CC">
        <w:rPr>
          <w:sz w:val="22"/>
        </w:rPr>
        <w:t>organis</w:t>
      </w:r>
      <w:r w:rsidR="000A6168" w:rsidRPr="005817CC">
        <w:rPr>
          <w:sz w:val="22"/>
        </w:rPr>
        <w:t xml:space="preserve">ations (like individuals) have underlying theories that inform their actions and that there can sometimes be disparity between </w:t>
      </w:r>
      <w:r w:rsidR="00D36337" w:rsidRPr="005817CC">
        <w:rPr>
          <w:sz w:val="22"/>
        </w:rPr>
        <w:t xml:space="preserve">their </w:t>
      </w:r>
      <w:r w:rsidR="000A6168" w:rsidRPr="005817CC">
        <w:rPr>
          <w:sz w:val="22"/>
        </w:rPr>
        <w:t>espoused theories</w:t>
      </w:r>
      <w:r w:rsidR="00D36337" w:rsidRPr="005817CC">
        <w:rPr>
          <w:sz w:val="22"/>
        </w:rPr>
        <w:t xml:space="preserve">, </w:t>
      </w:r>
      <w:r w:rsidR="00A818CF" w:rsidRPr="005817CC">
        <w:rPr>
          <w:sz w:val="22"/>
        </w:rPr>
        <w:t xml:space="preserve">i.e. those </w:t>
      </w:r>
      <w:r w:rsidR="00D36337" w:rsidRPr="005817CC">
        <w:rPr>
          <w:sz w:val="22"/>
        </w:rPr>
        <w:t>that</w:t>
      </w:r>
      <w:r w:rsidR="000A6168" w:rsidRPr="005817CC">
        <w:rPr>
          <w:sz w:val="22"/>
        </w:rPr>
        <w:t xml:space="preserve"> they announce to the world</w:t>
      </w:r>
      <w:r w:rsidR="00D36337" w:rsidRPr="005817CC">
        <w:rPr>
          <w:sz w:val="22"/>
        </w:rPr>
        <w:t>,</w:t>
      </w:r>
      <w:r w:rsidR="000A6168" w:rsidRPr="005817CC">
        <w:rPr>
          <w:sz w:val="22"/>
        </w:rPr>
        <w:t xml:space="preserve"> and </w:t>
      </w:r>
      <w:r w:rsidR="00D36337" w:rsidRPr="005817CC">
        <w:rPr>
          <w:sz w:val="22"/>
        </w:rPr>
        <w:t xml:space="preserve">their </w:t>
      </w:r>
      <w:r w:rsidR="000A6168" w:rsidRPr="005817CC">
        <w:rPr>
          <w:sz w:val="22"/>
        </w:rPr>
        <w:t>theories in use</w:t>
      </w:r>
      <w:r w:rsidR="00A818CF" w:rsidRPr="005817CC">
        <w:rPr>
          <w:sz w:val="22"/>
        </w:rPr>
        <w:t>, those</w:t>
      </w:r>
      <w:r w:rsidR="000A6168" w:rsidRPr="005817CC">
        <w:rPr>
          <w:sz w:val="22"/>
        </w:rPr>
        <w:t xml:space="preserve"> </w:t>
      </w:r>
      <w:r w:rsidR="00D36337" w:rsidRPr="005817CC">
        <w:rPr>
          <w:sz w:val="22"/>
        </w:rPr>
        <w:t>that</w:t>
      </w:r>
      <w:r w:rsidR="000A6168" w:rsidRPr="005817CC">
        <w:rPr>
          <w:sz w:val="22"/>
        </w:rPr>
        <w:t xml:space="preserve"> may be inferred from their actual behavior.   This theory </w:t>
      </w:r>
      <w:r w:rsidRPr="005817CC">
        <w:rPr>
          <w:sz w:val="22"/>
        </w:rPr>
        <w:t xml:space="preserve">is included, although not directly concerned with learning, </w:t>
      </w:r>
      <w:r w:rsidR="00D36337" w:rsidRPr="005817CC">
        <w:rPr>
          <w:sz w:val="22"/>
        </w:rPr>
        <w:t>to explain the</w:t>
      </w:r>
      <w:r w:rsidRPr="005817CC">
        <w:rPr>
          <w:sz w:val="22"/>
        </w:rPr>
        <w:t xml:space="preserve"> disparity </w:t>
      </w:r>
      <w:r w:rsidR="00D36337" w:rsidRPr="005817CC">
        <w:rPr>
          <w:sz w:val="22"/>
        </w:rPr>
        <w:t xml:space="preserve">that sometimes occurs </w:t>
      </w:r>
      <w:r w:rsidR="00337914" w:rsidRPr="005817CC">
        <w:rPr>
          <w:sz w:val="22"/>
        </w:rPr>
        <w:t>bet</w:t>
      </w:r>
      <w:r w:rsidRPr="005817CC">
        <w:rPr>
          <w:sz w:val="22"/>
        </w:rPr>
        <w:t>ween the learning situations espoused by</w:t>
      </w:r>
      <w:r w:rsidRPr="005817CC">
        <w:rPr>
          <w:sz w:val="22"/>
          <w:lang w:val="en-GB"/>
        </w:rPr>
        <w:t xml:space="preserve"> organisations</w:t>
      </w:r>
      <w:r w:rsidRPr="005817CC">
        <w:rPr>
          <w:sz w:val="22"/>
        </w:rPr>
        <w:t xml:space="preserve"> (whether the University or external institutions hosting placement students) and those actually experienced by students. </w:t>
      </w:r>
    </w:p>
    <w:p w:rsidR="000C2D45" w:rsidRPr="005817CC" w:rsidRDefault="000C2D45" w:rsidP="00FA0D62">
      <w:pPr>
        <w:pBdr>
          <w:bottom w:val="single" w:sz="12" w:space="1" w:color="auto"/>
        </w:pBdr>
        <w:jc w:val="both"/>
        <w:rPr>
          <w:sz w:val="22"/>
        </w:rPr>
      </w:pPr>
    </w:p>
    <w:p w:rsidR="000C2D45" w:rsidRPr="005817CC" w:rsidRDefault="000C2D45" w:rsidP="00FA0D62">
      <w:pPr>
        <w:jc w:val="both"/>
        <w:rPr>
          <w:sz w:val="22"/>
        </w:rPr>
      </w:pPr>
    </w:p>
    <w:p w:rsidR="000C2D45" w:rsidRPr="005817CC" w:rsidRDefault="000C2D45" w:rsidP="00FA0D62">
      <w:pPr>
        <w:jc w:val="both"/>
        <w:rPr>
          <w:sz w:val="22"/>
        </w:rPr>
      </w:pPr>
      <w:r w:rsidRPr="005817CC">
        <w:rPr>
          <w:sz w:val="22"/>
        </w:rPr>
        <w:t xml:space="preserve">The different theories outlined above are </w:t>
      </w:r>
      <w:r w:rsidRPr="005817CC">
        <w:rPr>
          <w:rFonts w:eastAsia="Calibri"/>
          <w:sz w:val="22"/>
        </w:rPr>
        <w:t xml:space="preserve">not mutually exclusive but </w:t>
      </w:r>
      <w:r w:rsidRPr="005817CC">
        <w:rPr>
          <w:sz w:val="22"/>
        </w:rPr>
        <w:t xml:space="preserve">place </w:t>
      </w:r>
      <w:r w:rsidRPr="005817CC">
        <w:rPr>
          <w:rFonts w:eastAsia="Calibri"/>
          <w:sz w:val="22"/>
        </w:rPr>
        <w:t>different in emphasis</w:t>
      </w:r>
      <w:r w:rsidRPr="005817CC">
        <w:rPr>
          <w:sz w:val="22"/>
        </w:rPr>
        <w:t xml:space="preserve"> on various aspects of learning</w:t>
      </w:r>
      <w:r w:rsidR="00A818CF" w:rsidRPr="005817CC">
        <w:rPr>
          <w:sz w:val="22"/>
        </w:rPr>
        <w:t>, probably</w:t>
      </w:r>
      <w:r w:rsidRPr="005817CC">
        <w:rPr>
          <w:sz w:val="22"/>
        </w:rPr>
        <w:t xml:space="preserve"> because of the differing perspectives of the researchers who devised them.  For example, </w:t>
      </w:r>
      <w:r w:rsidRPr="005817CC">
        <w:rPr>
          <w:rFonts w:eastAsia="Calibri"/>
          <w:sz w:val="22"/>
        </w:rPr>
        <w:t xml:space="preserve">Piaget’s </w:t>
      </w:r>
      <w:r w:rsidRPr="005817CC">
        <w:rPr>
          <w:sz w:val="22"/>
        </w:rPr>
        <w:t xml:space="preserve">constructivism arose from his </w:t>
      </w:r>
      <w:r w:rsidRPr="005817CC">
        <w:rPr>
          <w:rFonts w:eastAsia="Calibri"/>
          <w:sz w:val="22"/>
        </w:rPr>
        <w:t xml:space="preserve">focus </w:t>
      </w:r>
      <w:r w:rsidRPr="005817CC">
        <w:rPr>
          <w:sz w:val="22"/>
        </w:rPr>
        <w:t>on</w:t>
      </w:r>
      <w:r w:rsidRPr="005817CC">
        <w:rPr>
          <w:rFonts w:eastAsia="Calibri"/>
          <w:sz w:val="22"/>
        </w:rPr>
        <w:t xml:space="preserve"> individual</w:t>
      </w:r>
      <w:r w:rsidRPr="005817CC">
        <w:rPr>
          <w:sz w:val="22"/>
        </w:rPr>
        <w:t xml:space="preserve"> child</w:t>
      </w:r>
      <w:r w:rsidRPr="005817CC">
        <w:rPr>
          <w:rFonts w:eastAsia="Calibri"/>
          <w:sz w:val="22"/>
        </w:rPr>
        <w:t xml:space="preserve"> development.  Vygotsky, however, looked at </w:t>
      </w:r>
      <w:r w:rsidR="00A818CF" w:rsidRPr="005817CC">
        <w:rPr>
          <w:rFonts w:eastAsia="Calibri"/>
          <w:sz w:val="22"/>
        </w:rPr>
        <w:t xml:space="preserve">collective </w:t>
      </w:r>
      <w:r w:rsidRPr="005817CC">
        <w:rPr>
          <w:rFonts w:eastAsia="Calibri"/>
          <w:sz w:val="22"/>
        </w:rPr>
        <w:t xml:space="preserve">Activity Systems and at ‘Mind in Society’ as did Lave </w:t>
      </w:r>
      <w:r w:rsidR="00A818CF" w:rsidRPr="005817CC">
        <w:rPr>
          <w:rFonts w:eastAsia="Calibri"/>
          <w:sz w:val="22"/>
        </w:rPr>
        <w:t>&amp;</w:t>
      </w:r>
      <w:r w:rsidRPr="005817CC">
        <w:rPr>
          <w:rFonts w:eastAsia="Calibri"/>
          <w:sz w:val="22"/>
        </w:rPr>
        <w:t xml:space="preserve"> Wenger, whose ‘Communities of Practice’ are similar to Activity Systems.</w:t>
      </w:r>
    </w:p>
    <w:p w:rsidR="000C2D45" w:rsidRPr="005817CC" w:rsidRDefault="000C2D45" w:rsidP="00FA0D62">
      <w:pPr>
        <w:jc w:val="both"/>
        <w:rPr>
          <w:sz w:val="22"/>
        </w:rPr>
      </w:pPr>
    </w:p>
    <w:p w:rsidR="000C2D45" w:rsidRPr="005817CC" w:rsidRDefault="000C2D45" w:rsidP="00FA0D62">
      <w:pPr>
        <w:jc w:val="both"/>
        <w:rPr>
          <w:sz w:val="22"/>
        </w:rPr>
      </w:pPr>
      <w:r w:rsidRPr="005817CC">
        <w:rPr>
          <w:sz w:val="22"/>
        </w:rPr>
        <w:t>These theories, taken together, have helped my understanding of student learning from placements and a range of university-based learning opportunities.  They have also contributed towards my analyses and evaluations.</w:t>
      </w:r>
    </w:p>
    <w:p w:rsidR="00337914" w:rsidRPr="005817CC" w:rsidRDefault="00337914" w:rsidP="00A818CF">
      <w:pPr>
        <w:pBdr>
          <w:bottom w:val="single" w:sz="12" w:space="1" w:color="auto"/>
        </w:pBdr>
        <w:jc w:val="both"/>
        <w:rPr>
          <w:sz w:val="22"/>
        </w:rPr>
      </w:pPr>
    </w:p>
    <w:p w:rsidR="00A818CF" w:rsidRPr="005817CC" w:rsidRDefault="00A818CF" w:rsidP="00FA0D62">
      <w:pPr>
        <w:jc w:val="both"/>
        <w:rPr>
          <w:b/>
          <w:color w:val="0070C0"/>
          <w:sz w:val="22"/>
          <w:lang w:val="en-GB"/>
        </w:rPr>
      </w:pPr>
    </w:p>
    <w:p w:rsidR="00E35E77" w:rsidRPr="005817CC" w:rsidRDefault="00B30DE0" w:rsidP="00FA0D62">
      <w:pPr>
        <w:jc w:val="both"/>
        <w:rPr>
          <w:b/>
          <w:color w:val="0070C0"/>
          <w:sz w:val="20"/>
          <w:u w:val="single"/>
          <w:lang w:val="en-GB"/>
        </w:rPr>
      </w:pPr>
      <w:r w:rsidRPr="005817CC">
        <w:rPr>
          <w:b/>
          <w:color w:val="0070C0"/>
          <w:sz w:val="20"/>
          <w:u w:val="single"/>
          <w:lang w:val="en-GB"/>
        </w:rPr>
        <w:t>References</w:t>
      </w:r>
    </w:p>
    <w:p w:rsidR="00B30DE0" w:rsidRPr="005817CC" w:rsidRDefault="00B30DE0" w:rsidP="007F1E13">
      <w:pPr>
        <w:rPr>
          <w:b/>
          <w:sz w:val="20"/>
          <w:lang w:val="en-GB"/>
        </w:rPr>
      </w:pPr>
    </w:p>
    <w:p w:rsidR="00837D34" w:rsidRPr="005817CC" w:rsidRDefault="00837D34" w:rsidP="00837D34">
      <w:pPr>
        <w:rPr>
          <w:sz w:val="20"/>
        </w:rPr>
      </w:pPr>
      <w:r w:rsidRPr="005817CC">
        <w:rPr>
          <w:sz w:val="20"/>
        </w:rPr>
        <w:t xml:space="preserve">Argyris, C. and Schön, D. (1978).  </w:t>
      </w:r>
      <w:r w:rsidRPr="005817CC">
        <w:rPr>
          <w:i/>
          <w:sz w:val="20"/>
        </w:rPr>
        <w:t>Organisational Learning: A Theory of Action Perspective</w:t>
      </w:r>
      <w:r w:rsidRPr="005817CC">
        <w:rPr>
          <w:sz w:val="20"/>
        </w:rPr>
        <w:t xml:space="preserve">.  </w:t>
      </w:r>
    </w:p>
    <w:p w:rsidR="00B62014" w:rsidRPr="005817CC" w:rsidRDefault="00B62014" w:rsidP="00837D34">
      <w:pPr>
        <w:rPr>
          <w:sz w:val="20"/>
        </w:rPr>
      </w:pPr>
    </w:p>
    <w:p w:rsidR="00B62014" w:rsidRPr="005817CC" w:rsidRDefault="00B62014" w:rsidP="00837D34">
      <w:pPr>
        <w:rPr>
          <w:i/>
          <w:sz w:val="20"/>
        </w:rPr>
      </w:pPr>
      <w:r w:rsidRPr="005817CC">
        <w:rPr>
          <w:sz w:val="20"/>
        </w:rPr>
        <w:t xml:space="preserve">Damasio, A. (1999).  </w:t>
      </w:r>
      <w:r w:rsidRPr="005817CC">
        <w:rPr>
          <w:i/>
          <w:sz w:val="20"/>
        </w:rPr>
        <w:t xml:space="preserve">The </w:t>
      </w:r>
      <w:r w:rsidR="00674EC3" w:rsidRPr="005817CC">
        <w:rPr>
          <w:i/>
          <w:sz w:val="20"/>
        </w:rPr>
        <w:t>F</w:t>
      </w:r>
      <w:r w:rsidRPr="005817CC">
        <w:rPr>
          <w:i/>
          <w:sz w:val="20"/>
        </w:rPr>
        <w:t xml:space="preserve">eeling of </w:t>
      </w:r>
      <w:r w:rsidR="00674EC3" w:rsidRPr="005817CC">
        <w:rPr>
          <w:i/>
          <w:sz w:val="20"/>
        </w:rPr>
        <w:t>W</w:t>
      </w:r>
      <w:r w:rsidRPr="005817CC">
        <w:rPr>
          <w:i/>
          <w:sz w:val="20"/>
        </w:rPr>
        <w:t xml:space="preserve">hat </w:t>
      </w:r>
      <w:r w:rsidR="00674EC3" w:rsidRPr="005817CC">
        <w:rPr>
          <w:i/>
          <w:sz w:val="20"/>
        </w:rPr>
        <w:t>H</w:t>
      </w:r>
      <w:r w:rsidRPr="005817CC">
        <w:rPr>
          <w:i/>
          <w:sz w:val="20"/>
        </w:rPr>
        <w:t>appens; body, emotion and the making of consciousness.</w:t>
      </w:r>
    </w:p>
    <w:p w:rsidR="00D36337" w:rsidRPr="005817CC" w:rsidRDefault="00D36337" w:rsidP="00837D34">
      <w:pPr>
        <w:rPr>
          <w:i/>
          <w:sz w:val="20"/>
        </w:rPr>
      </w:pPr>
    </w:p>
    <w:p w:rsidR="00D36337" w:rsidRPr="005817CC" w:rsidRDefault="00D36337" w:rsidP="00837D34">
      <w:pPr>
        <w:rPr>
          <w:sz w:val="20"/>
        </w:rPr>
      </w:pPr>
      <w:r w:rsidRPr="005817CC">
        <w:rPr>
          <w:sz w:val="20"/>
        </w:rPr>
        <w:t xml:space="preserve">Daniels, H. (2001).  </w:t>
      </w:r>
      <w:r w:rsidRPr="005817CC">
        <w:rPr>
          <w:i/>
          <w:sz w:val="20"/>
        </w:rPr>
        <w:t>Vygotsky and Pedagogy</w:t>
      </w:r>
      <w:r w:rsidRPr="005817CC">
        <w:rPr>
          <w:sz w:val="20"/>
        </w:rPr>
        <w:t>.</w:t>
      </w:r>
    </w:p>
    <w:p w:rsidR="0074087E" w:rsidRPr="005817CC" w:rsidRDefault="0074087E" w:rsidP="00837D34">
      <w:pPr>
        <w:rPr>
          <w:i/>
          <w:sz w:val="20"/>
        </w:rPr>
      </w:pPr>
    </w:p>
    <w:p w:rsidR="00B30DE0" w:rsidRPr="005817CC" w:rsidRDefault="00B30DE0" w:rsidP="00B30DE0">
      <w:pPr>
        <w:rPr>
          <w:sz w:val="20"/>
          <w:lang w:val="en-GB"/>
        </w:rPr>
      </w:pPr>
      <w:r w:rsidRPr="005817CC">
        <w:rPr>
          <w:sz w:val="20"/>
          <w:lang w:val="en-GB"/>
        </w:rPr>
        <w:t xml:space="preserve">Dewey, J. (1938).  </w:t>
      </w:r>
      <w:r w:rsidRPr="005817CC">
        <w:rPr>
          <w:i/>
          <w:sz w:val="20"/>
          <w:lang w:val="en-GB"/>
        </w:rPr>
        <w:t>Experience and Education</w:t>
      </w:r>
      <w:r w:rsidRPr="005817CC">
        <w:rPr>
          <w:sz w:val="20"/>
          <w:lang w:val="en-GB"/>
        </w:rPr>
        <w:t xml:space="preserve">. </w:t>
      </w:r>
    </w:p>
    <w:p w:rsidR="00063D10" w:rsidRPr="005817CC" w:rsidRDefault="00063D10" w:rsidP="00B30DE0">
      <w:pPr>
        <w:rPr>
          <w:sz w:val="20"/>
          <w:lang w:val="en-GB"/>
        </w:rPr>
      </w:pPr>
    </w:p>
    <w:p w:rsidR="00063D10" w:rsidRPr="005817CC" w:rsidRDefault="00063D10" w:rsidP="00B30DE0">
      <w:pPr>
        <w:rPr>
          <w:sz w:val="20"/>
        </w:rPr>
      </w:pPr>
      <w:r w:rsidRPr="005817CC">
        <w:rPr>
          <w:sz w:val="20"/>
        </w:rPr>
        <w:t xml:space="preserve">Engeström, Y., Miettinen, R. and Punamaki, R-L. (Eds) (1999).  </w:t>
      </w:r>
      <w:r w:rsidRPr="005817CC">
        <w:rPr>
          <w:i/>
          <w:sz w:val="20"/>
        </w:rPr>
        <w:t>Perspectives on Activity Theory.</w:t>
      </w:r>
      <w:r w:rsidRPr="005817CC">
        <w:rPr>
          <w:sz w:val="20"/>
        </w:rPr>
        <w:t xml:space="preserve">  </w:t>
      </w:r>
    </w:p>
    <w:p w:rsidR="00B62014" w:rsidRPr="005817CC" w:rsidRDefault="00B62014" w:rsidP="00837D34">
      <w:pPr>
        <w:pStyle w:val="ListParagraph"/>
        <w:ind w:left="0"/>
        <w:jc w:val="both"/>
        <w:rPr>
          <w:sz w:val="20"/>
          <w:lang w:val="en-GB"/>
        </w:rPr>
      </w:pPr>
      <w:r w:rsidRPr="005817CC">
        <w:rPr>
          <w:sz w:val="20"/>
          <w:lang w:val="en-GB"/>
        </w:rPr>
        <w:t xml:space="preserve">Goswami, U. (2008).  </w:t>
      </w:r>
      <w:r w:rsidRPr="005817CC">
        <w:rPr>
          <w:i/>
          <w:sz w:val="20"/>
          <w:lang w:val="en-GB"/>
        </w:rPr>
        <w:t>Cognitive Development: The Learning Brain.</w:t>
      </w:r>
    </w:p>
    <w:p w:rsidR="00B62014" w:rsidRPr="005817CC" w:rsidRDefault="00B62014" w:rsidP="00837D34">
      <w:pPr>
        <w:pStyle w:val="ListParagraph"/>
        <w:ind w:left="0"/>
        <w:jc w:val="both"/>
        <w:rPr>
          <w:sz w:val="20"/>
          <w:lang w:val="en-GB"/>
        </w:rPr>
      </w:pPr>
    </w:p>
    <w:p w:rsidR="00837D34" w:rsidRPr="005817CC" w:rsidRDefault="00837D34" w:rsidP="00837D34">
      <w:pPr>
        <w:pStyle w:val="ListParagraph"/>
        <w:ind w:left="0"/>
        <w:jc w:val="both"/>
        <w:rPr>
          <w:sz w:val="20"/>
          <w:lang w:val="en-GB"/>
        </w:rPr>
      </w:pPr>
      <w:r w:rsidRPr="005817CC">
        <w:rPr>
          <w:sz w:val="20"/>
          <w:lang w:val="en-GB"/>
        </w:rPr>
        <w:t xml:space="preserve">Goswami, U.  </w:t>
      </w:r>
      <w:r w:rsidRPr="005817CC">
        <w:rPr>
          <w:i/>
          <w:sz w:val="20"/>
          <w:lang w:val="en-GB"/>
        </w:rPr>
        <w:t>British Journal of Educational Psychology</w:t>
      </w:r>
      <w:r w:rsidRPr="005817CC">
        <w:rPr>
          <w:sz w:val="20"/>
          <w:lang w:val="en-GB"/>
        </w:rPr>
        <w:t xml:space="preserve"> (2004), 74, 1-14.</w:t>
      </w:r>
    </w:p>
    <w:p w:rsidR="00837D34" w:rsidRPr="005817CC" w:rsidRDefault="00837D34" w:rsidP="00B30DE0">
      <w:pPr>
        <w:rPr>
          <w:sz w:val="20"/>
        </w:rPr>
      </w:pPr>
    </w:p>
    <w:p w:rsidR="00B30DE0" w:rsidRPr="005817CC" w:rsidRDefault="00B30DE0" w:rsidP="00B30DE0">
      <w:pPr>
        <w:rPr>
          <w:sz w:val="20"/>
          <w:lang w:val="en-GB"/>
        </w:rPr>
      </w:pPr>
      <w:r w:rsidRPr="005817CC">
        <w:rPr>
          <w:sz w:val="20"/>
        </w:rPr>
        <w:t xml:space="preserve">Honey, P. and Mumford, A (1982).  </w:t>
      </w:r>
      <w:r w:rsidRPr="005817CC">
        <w:rPr>
          <w:i/>
          <w:sz w:val="20"/>
        </w:rPr>
        <w:t>The Manual of Learning Styles.</w:t>
      </w:r>
    </w:p>
    <w:p w:rsidR="00B30DE0" w:rsidRPr="005817CC" w:rsidRDefault="00B30DE0" w:rsidP="007F1E13">
      <w:pPr>
        <w:rPr>
          <w:b/>
          <w:sz w:val="20"/>
          <w:lang w:val="en-GB"/>
        </w:rPr>
      </w:pPr>
    </w:p>
    <w:p w:rsidR="00B30DE0" w:rsidRPr="005817CC" w:rsidRDefault="00B30DE0" w:rsidP="007F1E13">
      <w:pPr>
        <w:rPr>
          <w:sz w:val="20"/>
          <w:lang w:val="en-GB"/>
        </w:rPr>
      </w:pPr>
      <w:r w:rsidRPr="005817CC">
        <w:rPr>
          <w:sz w:val="20"/>
          <w:lang w:val="en-GB"/>
        </w:rPr>
        <w:t xml:space="preserve">Kolb, D. (1984) </w:t>
      </w:r>
      <w:r w:rsidRPr="005817CC">
        <w:rPr>
          <w:i/>
          <w:sz w:val="20"/>
          <w:lang w:val="en-GB"/>
        </w:rPr>
        <w:t>Experiential Learning: Experience as the Source of Learning and Development</w:t>
      </w:r>
      <w:r w:rsidRPr="005817CC">
        <w:rPr>
          <w:sz w:val="20"/>
          <w:lang w:val="en-GB"/>
        </w:rPr>
        <w:t>.</w:t>
      </w:r>
    </w:p>
    <w:p w:rsidR="007D4FEB" w:rsidRPr="005817CC" w:rsidRDefault="007D4FEB" w:rsidP="007F1E13">
      <w:pPr>
        <w:rPr>
          <w:sz w:val="20"/>
          <w:lang w:val="en-GB"/>
        </w:rPr>
      </w:pPr>
    </w:p>
    <w:p w:rsidR="007D4FEB" w:rsidRPr="005817CC" w:rsidRDefault="007D4FEB" w:rsidP="007F1E13">
      <w:pPr>
        <w:rPr>
          <w:sz w:val="20"/>
        </w:rPr>
      </w:pPr>
      <w:r w:rsidRPr="005817CC">
        <w:rPr>
          <w:sz w:val="20"/>
        </w:rPr>
        <w:t xml:space="preserve">Lave, J. and Wenger, E. (1999).  </w:t>
      </w:r>
      <w:r w:rsidRPr="005817CC">
        <w:rPr>
          <w:i/>
          <w:sz w:val="20"/>
        </w:rPr>
        <w:t>Learning and Pedagogy in Communities of Practice</w:t>
      </w:r>
      <w:r w:rsidRPr="005817CC">
        <w:rPr>
          <w:sz w:val="20"/>
        </w:rPr>
        <w:t xml:space="preserve"> in Leach &amp; Moon (Eds) </w:t>
      </w:r>
      <w:r w:rsidRPr="005817CC">
        <w:rPr>
          <w:i/>
          <w:sz w:val="20"/>
        </w:rPr>
        <w:t xml:space="preserve">Learners and Pedagogy </w:t>
      </w:r>
      <w:r w:rsidRPr="005817CC">
        <w:rPr>
          <w:sz w:val="20"/>
        </w:rPr>
        <w:t>(pp 21-33).</w:t>
      </w:r>
    </w:p>
    <w:p w:rsidR="007D4FEB" w:rsidRPr="005817CC" w:rsidRDefault="007D4FEB" w:rsidP="007F1E13">
      <w:pPr>
        <w:rPr>
          <w:sz w:val="20"/>
        </w:rPr>
      </w:pPr>
    </w:p>
    <w:p w:rsidR="007D4FEB" w:rsidRPr="005817CC" w:rsidRDefault="007D4FEB" w:rsidP="007F1E13">
      <w:pPr>
        <w:rPr>
          <w:i/>
          <w:sz w:val="20"/>
        </w:rPr>
      </w:pPr>
      <w:r w:rsidRPr="005817CC">
        <w:rPr>
          <w:sz w:val="20"/>
        </w:rPr>
        <w:t xml:space="preserve">Marton, F. and Säljö, R. (1984).  </w:t>
      </w:r>
      <w:r w:rsidRPr="005817CC">
        <w:rPr>
          <w:i/>
          <w:iCs/>
          <w:sz w:val="20"/>
        </w:rPr>
        <w:t>Approaches to Learning</w:t>
      </w:r>
      <w:r w:rsidRPr="005817CC">
        <w:rPr>
          <w:sz w:val="20"/>
        </w:rPr>
        <w:t xml:space="preserve"> in Marton, Hounsell &amp; Entwistle (Eds) </w:t>
      </w:r>
      <w:r w:rsidRPr="005817CC">
        <w:rPr>
          <w:i/>
          <w:sz w:val="20"/>
        </w:rPr>
        <w:t>The Experience of Learning</w:t>
      </w:r>
      <w:r w:rsidR="00837D34" w:rsidRPr="005817CC">
        <w:rPr>
          <w:i/>
          <w:sz w:val="20"/>
        </w:rPr>
        <w:t>.</w:t>
      </w:r>
    </w:p>
    <w:p w:rsidR="008E67AB" w:rsidRPr="005817CC" w:rsidRDefault="008E67AB" w:rsidP="007F1E13">
      <w:pPr>
        <w:rPr>
          <w:i/>
          <w:sz w:val="20"/>
        </w:rPr>
      </w:pPr>
    </w:p>
    <w:p w:rsidR="008E67AB" w:rsidRPr="005817CC" w:rsidRDefault="008E67AB" w:rsidP="008E67AB">
      <w:pPr>
        <w:rPr>
          <w:sz w:val="20"/>
        </w:rPr>
      </w:pPr>
      <w:r w:rsidRPr="005817CC">
        <w:rPr>
          <w:sz w:val="20"/>
        </w:rPr>
        <w:t xml:space="preserve">Perry, W. (1970).  </w:t>
      </w:r>
      <w:r w:rsidRPr="005817CC">
        <w:rPr>
          <w:i/>
          <w:sz w:val="20"/>
        </w:rPr>
        <w:t>Forms of Intellectual and Ethical Development in College Years</w:t>
      </w:r>
      <w:r w:rsidRPr="005817CC">
        <w:rPr>
          <w:sz w:val="20"/>
        </w:rPr>
        <w:t>.</w:t>
      </w:r>
    </w:p>
    <w:p w:rsidR="00D36337" w:rsidRPr="005817CC" w:rsidRDefault="007D4FEB" w:rsidP="00FA0D62">
      <w:pPr>
        <w:rPr>
          <w:sz w:val="20"/>
          <w:lang w:val="en-GB"/>
        </w:rPr>
      </w:pPr>
      <w:r w:rsidRPr="005817CC">
        <w:rPr>
          <w:sz w:val="20"/>
          <w:lang w:val="en-GB"/>
        </w:rPr>
        <w:t xml:space="preserve">Rogers, C. (1983).  </w:t>
      </w:r>
      <w:r w:rsidRPr="005817CC">
        <w:rPr>
          <w:i/>
          <w:sz w:val="20"/>
          <w:lang w:val="en-GB"/>
        </w:rPr>
        <w:t>Freedom to Learn for the 80s</w:t>
      </w:r>
      <w:r w:rsidRPr="005817CC">
        <w:rPr>
          <w:sz w:val="20"/>
          <w:lang w:val="en-GB"/>
        </w:rPr>
        <w:t>.</w:t>
      </w:r>
    </w:p>
    <w:p w:rsidR="000C2D45" w:rsidRPr="005817CC" w:rsidRDefault="000C2D45" w:rsidP="00FA0D62">
      <w:pPr>
        <w:rPr>
          <w:sz w:val="20"/>
        </w:rPr>
      </w:pPr>
    </w:p>
    <w:p w:rsidR="00FA0D62" w:rsidRPr="005817CC" w:rsidRDefault="00FA0D62" w:rsidP="00FA0D62">
      <w:pPr>
        <w:rPr>
          <w:sz w:val="20"/>
          <w:lang w:val="en-GB"/>
        </w:rPr>
      </w:pPr>
      <w:r w:rsidRPr="005817CC">
        <w:rPr>
          <w:sz w:val="20"/>
        </w:rPr>
        <w:t xml:space="preserve">Turner, P. and Curran, A. (2006).  </w:t>
      </w:r>
      <w:r w:rsidRPr="005817CC">
        <w:rPr>
          <w:i/>
          <w:sz w:val="20"/>
        </w:rPr>
        <w:t>Correlates between bioscience students’ experiences of higher education and the neurobiology of learning</w:t>
      </w:r>
      <w:r w:rsidRPr="005817CC">
        <w:rPr>
          <w:sz w:val="20"/>
        </w:rPr>
        <w:t xml:space="preserve">.  </w:t>
      </w:r>
      <w:hyperlink r:id="rId9" w:history="1">
        <w:r w:rsidRPr="005817CC">
          <w:rPr>
            <w:rStyle w:val="Hyperlink"/>
            <w:sz w:val="20"/>
          </w:rPr>
          <w:t>http://www.bioscience.heacademy.ac.uk/journal/vol7/beej-7-5</w:t>
        </w:r>
      </w:hyperlink>
    </w:p>
    <w:p w:rsidR="00837D34" w:rsidRPr="005817CC" w:rsidRDefault="00837D34" w:rsidP="007D4FEB">
      <w:pPr>
        <w:rPr>
          <w:sz w:val="20"/>
          <w:lang w:val="en-GB"/>
        </w:rPr>
      </w:pPr>
    </w:p>
    <w:p w:rsidR="00837D34" w:rsidRPr="005817CC" w:rsidRDefault="00D36337" w:rsidP="00837D34">
      <w:pPr>
        <w:rPr>
          <w:i/>
          <w:sz w:val="20"/>
        </w:rPr>
      </w:pPr>
      <w:r w:rsidRPr="005817CC">
        <w:rPr>
          <w:sz w:val="20"/>
        </w:rPr>
        <w:t>Vygotsky, L. (1978</w:t>
      </w:r>
      <w:r w:rsidR="00837D34" w:rsidRPr="005817CC">
        <w:rPr>
          <w:sz w:val="20"/>
        </w:rPr>
        <w:t xml:space="preserve">).  </w:t>
      </w:r>
      <w:r w:rsidR="00837D34" w:rsidRPr="005817CC">
        <w:rPr>
          <w:i/>
          <w:sz w:val="20"/>
        </w:rPr>
        <w:t>Mind in Society: The Development of Higher Psychological Processes.</w:t>
      </w:r>
    </w:p>
    <w:p w:rsidR="00D36337" w:rsidRPr="005817CC" w:rsidRDefault="00D36337" w:rsidP="00837D34">
      <w:pPr>
        <w:rPr>
          <w:i/>
          <w:sz w:val="20"/>
        </w:rPr>
      </w:pPr>
    </w:p>
    <w:p w:rsidR="00D36337" w:rsidRPr="005817CC" w:rsidRDefault="00D36337" w:rsidP="00837D34">
      <w:pPr>
        <w:rPr>
          <w:sz w:val="20"/>
        </w:rPr>
      </w:pPr>
      <w:r w:rsidRPr="005817CC">
        <w:rPr>
          <w:sz w:val="20"/>
        </w:rPr>
        <w:t xml:space="preserve">Vygotsky, L. (1986).  </w:t>
      </w:r>
      <w:r w:rsidRPr="005817CC">
        <w:rPr>
          <w:i/>
          <w:sz w:val="20"/>
        </w:rPr>
        <w:t>Thought and Language.</w:t>
      </w:r>
    </w:p>
    <w:p w:rsidR="007D4FEB" w:rsidRPr="005817CC" w:rsidRDefault="007D4FEB" w:rsidP="007F1E13">
      <w:pPr>
        <w:rPr>
          <w:b/>
          <w:sz w:val="20"/>
          <w:lang w:val="en-GB"/>
        </w:rPr>
      </w:pPr>
    </w:p>
    <w:p w:rsidR="007D4FEB" w:rsidRPr="005817CC" w:rsidRDefault="007D4FEB" w:rsidP="007F1E13">
      <w:pPr>
        <w:rPr>
          <w:sz w:val="20"/>
        </w:rPr>
      </w:pPr>
      <w:r w:rsidRPr="005817CC">
        <w:rPr>
          <w:sz w:val="20"/>
        </w:rPr>
        <w:t xml:space="preserve">Wenger, E., McDermott, R. and Snyder, W.  (2002). </w:t>
      </w:r>
      <w:r w:rsidRPr="005817CC">
        <w:rPr>
          <w:i/>
          <w:iCs/>
          <w:sz w:val="20"/>
        </w:rPr>
        <w:t>Cultivating Communities of Practice: a guide to managing knowledge</w:t>
      </w:r>
      <w:r w:rsidRPr="005817CC">
        <w:rPr>
          <w:sz w:val="20"/>
        </w:rPr>
        <w:t>.</w:t>
      </w:r>
    </w:p>
    <w:p w:rsidR="00063D10" w:rsidRPr="005817CC" w:rsidRDefault="00063D10" w:rsidP="007F1E13">
      <w:pPr>
        <w:rPr>
          <w:sz w:val="20"/>
        </w:rPr>
      </w:pPr>
    </w:p>
    <w:p w:rsidR="009B0D8E" w:rsidRPr="005817CC" w:rsidRDefault="009B0D8E" w:rsidP="007F1E13">
      <w:pPr>
        <w:rPr>
          <w:sz w:val="20"/>
        </w:rPr>
      </w:pPr>
    </w:p>
    <w:p w:rsidR="009B0D8E" w:rsidRPr="005817CC" w:rsidRDefault="005817CC" w:rsidP="007F1E13">
      <w:pPr>
        <w:rPr>
          <w:sz w:val="22"/>
        </w:rPr>
      </w:pPr>
      <w:r>
        <w:rPr>
          <w:b/>
          <w:noProof/>
          <w:sz w:val="22"/>
          <w:lang w:val="en-GB" w:eastAsia="en-GB"/>
        </w:rPr>
        <mc:AlternateContent>
          <mc:Choice Requires="wps">
            <w:drawing>
              <wp:anchor distT="0" distB="0" distL="114300" distR="114300" simplePos="0" relativeHeight="251658240" behindDoc="0" locked="0" layoutInCell="1" allowOverlap="1">
                <wp:simplePos x="0" y="0"/>
                <wp:positionH relativeFrom="column">
                  <wp:posOffset>-67310</wp:posOffset>
                </wp:positionH>
                <wp:positionV relativeFrom="paragraph">
                  <wp:posOffset>132715</wp:posOffset>
                </wp:positionV>
                <wp:extent cx="6019800" cy="1143000"/>
                <wp:effectExtent l="0" t="0" r="63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7AB" w:rsidRPr="00C06647" w:rsidRDefault="008E67AB" w:rsidP="00063D10">
                            <w:pPr>
                              <w:spacing w:line="270" w:lineRule="atLeast"/>
                              <w:jc w:val="center"/>
                              <w:rPr>
                                <w:rFonts w:ascii="Helvetica" w:hAnsi="Helvetica" w:cs="Helvetica"/>
                                <w:b/>
                                <w:sz w:val="20"/>
                                <w:szCs w:val="20"/>
                              </w:rPr>
                            </w:pPr>
                            <w:r>
                              <w:rPr>
                                <w:rFonts w:ascii="Helvetica" w:hAnsi="Helvetica" w:cs="Helvetica"/>
                                <w:noProof/>
                                <w:color w:val="4374B7"/>
                                <w:sz w:val="20"/>
                                <w:szCs w:val="20"/>
                                <w:lang w:val="en-GB" w:eastAsia="en-GB"/>
                              </w:rPr>
                              <w:drawing>
                                <wp:inline distT="0" distB="0" distL="0" distR="0" wp14:anchorId="1D572951" wp14:editId="33D8C259">
                                  <wp:extent cx="819150" cy="276225"/>
                                  <wp:effectExtent l="19050" t="0" r="0" b="0"/>
                                  <wp:docPr id="65" name="Picture 65"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reative Commons License">
                                            <a:hlinkClick r:id="rId10"/>
                                          </pic:cNvPr>
                                          <pic:cNvPicPr>
                                            <a:picLocks noChangeAspect="1" noChangeArrowheads="1"/>
                                          </pic:cNvPicPr>
                                        </pic:nvPicPr>
                                        <pic:blipFill>
                                          <a:blip r:embed="rId11"/>
                                          <a:srcRect/>
                                          <a:stretch>
                                            <a:fillRect/>
                                          </a:stretch>
                                        </pic:blipFill>
                                        <pic:spPr bwMode="auto">
                                          <a:xfrm>
                                            <a:off x="0" y="0"/>
                                            <a:ext cx="819150" cy="276225"/>
                                          </a:xfrm>
                                          <a:prstGeom prst="rect">
                                            <a:avLst/>
                                          </a:prstGeom>
                                          <a:noFill/>
                                          <a:ln w="9525">
                                            <a:noFill/>
                                            <a:miter lim="800000"/>
                                            <a:headEnd/>
                                            <a:tailEnd/>
                                          </a:ln>
                                        </pic:spPr>
                                      </pic:pic>
                                    </a:graphicData>
                                  </a:graphic>
                                </wp:inline>
                              </w:drawing>
                            </w:r>
                            <w:r>
                              <w:rPr>
                                <w:rFonts w:ascii="Helvetica" w:hAnsi="Helvetica" w:cs="Helvetica"/>
                                <w:color w:val="808080"/>
                                <w:sz w:val="20"/>
                                <w:szCs w:val="20"/>
                              </w:rPr>
                              <w:br/>
                              <w:t xml:space="preserve">Understanding Learning by © Dr Poppy Turner, on behalf of the National HE STEM Programme, South West Spoke, University of Bath is licensed under a </w:t>
                            </w:r>
                            <w:hyperlink r:id="rId12" w:history="1">
                              <w:r>
                                <w:rPr>
                                  <w:rStyle w:val="Hyperlink"/>
                                  <w:rFonts w:ascii="Helvetica" w:hAnsi="Helvetica" w:cs="Helvetica"/>
                                  <w:sz w:val="20"/>
                                  <w:szCs w:val="20"/>
                                </w:rPr>
                                <w:t>Creative Commons Attribution 2.0 UK: England &amp; Wales License</w:t>
                              </w:r>
                            </w:hyperlink>
                            <w:r>
                              <w:rPr>
                                <w:rFonts w:ascii="Helvetica" w:hAnsi="Helvetica" w:cs="Helvetica"/>
                                <w:color w:val="808080"/>
                                <w:sz w:val="20"/>
                                <w:szCs w:val="20"/>
                              </w:rPr>
                              <w:t xml:space="preserve"> </w:t>
                            </w:r>
                            <w:r w:rsidRPr="00573AA5">
                              <w:rPr>
                                <w:rFonts w:ascii="Helvetica" w:hAnsi="Helvetica" w:cs="Helvetica"/>
                                <w:color w:val="808080"/>
                                <w:sz w:val="20"/>
                                <w:szCs w:val="20"/>
                              </w:rPr>
                              <w:t xml:space="preserve">with the </w:t>
                            </w:r>
                            <w:r>
                              <w:rPr>
                                <w:rFonts w:ascii="Helvetica" w:hAnsi="Helvetica" w:cs="Helvetica"/>
                                <w:color w:val="808080"/>
                                <w:sz w:val="20"/>
                                <w:szCs w:val="20"/>
                              </w:rPr>
                              <w:t>exception of</w:t>
                            </w:r>
                            <w:r w:rsidRPr="00573AA5">
                              <w:rPr>
                                <w:rFonts w:ascii="Helvetica" w:hAnsi="Helvetica" w:cs="Helvetica"/>
                                <w:color w:val="808080"/>
                                <w:sz w:val="20"/>
                                <w:szCs w:val="20"/>
                              </w:rPr>
                              <w:t xml:space="preserve"> registered marks such as logos. All reproductions and repurposing must comply with the terms of that licence.</w:t>
                            </w:r>
                          </w:p>
                          <w:p w:rsidR="008E67AB" w:rsidRDefault="008E67AB" w:rsidP="00063D10">
                            <w:pPr>
                              <w:spacing w:line="270" w:lineRule="atLeast"/>
                              <w:jc w:val="center"/>
                              <w:rPr>
                                <w:rFonts w:ascii="Helvetica" w:hAnsi="Helvetica" w:cs="Helvetica"/>
                                <w:color w:val="808080"/>
                                <w:sz w:val="20"/>
                                <w:szCs w:val="20"/>
                              </w:rPr>
                            </w:pPr>
                          </w:p>
                          <w:p w:rsidR="008E67AB" w:rsidRDefault="008E67AB" w:rsidP="00063D10">
                            <w:pPr>
                              <w:spacing w:line="270" w:lineRule="atLeast"/>
                              <w:jc w:val="center"/>
                              <w:rPr>
                                <w:rFonts w:ascii="Helvetica" w:hAnsi="Helvetica" w:cs="Helvetica"/>
                                <w:color w:val="808080"/>
                                <w:sz w:val="20"/>
                                <w:szCs w:val="20"/>
                              </w:rPr>
                            </w:pPr>
                            <w:r>
                              <w:rPr>
                                <w:rFonts w:ascii="Helvetica" w:hAnsi="Helvetica" w:cs="Helvetica"/>
                                <w:color w:val="808080"/>
                                <w:sz w:val="20"/>
                                <w:szCs w:val="20"/>
                              </w:rPr>
                              <w:t>.</w:t>
                            </w:r>
                          </w:p>
                          <w:p w:rsidR="008E67AB" w:rsidRDefault="008E67AB" w:rsidP="00063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pt;margin-top:10.45pt;width:474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" stroked="f">
                <v:textbox>
                  <w:txbxContent>
                    <w:p w:rsidR="008E67AB" w:rsidRPr="00C06647" w:rsidRDefault="008E67AB" w:rsidP="00063D10">
                      <w:pPr>
                        <w:spacing w:line="270" w:lineRule="atLeast"/>
                        <w:jc w:val="center"/>
                        <w:rPr>
                          <w:rFonts w:ascii="Helvetica" w:hAnsi="Helvetica" w:cs="Helvetica"/>
                          <w:b/>
                          <w:sz w:val="20"/>
                          <w:szCs w:val="20"/>
                        </w:rPr>
                      </w:pPr>
                      <w:r>
                        <w:rPr>
                          <w:rFonts w:ascii="Helvetica" w:hAnsi="Helvetica" w:cs="Helvetica"/>
                          <w:noProof/>
                          <w:color w:val="4374B7"/>
                          <w:sz w:val="20"/>
                          <w:szCs w:val="20"/>
                          <w:lang w:val="en-GB" w:eastAsia="en-GB"/>
                        </w:rPr>
                        <w:drawing>
                          <wp:inline distT="0" distB="0" distL="0" distR="0" wp14:anchorId="1D572951" wp14:editId="33D8C259">
                            <wp:extent cx="819150" cy="276225"/>
                            <wp:effectExtent l="19050" t="0" r="0" b="0"/>
                            <wp:docPr id="65" name="Picture 65"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reative Commons License">
                                      <a:hlinkClick r:id="rId10"/>
                                    </pic:cNvPr>
                                    <pic:cNvPicPr>
                                      <a:picLocks noChangeAspect="1" noChangeArrowheads="1"/>
                                    </pic:cNvPicPr>
                                  </pic:nvPicPr>
                                  <pic:blipFill>
                                    <a:blip r:embed="rId11"/>
                                    <a:srcRect/>
                                    <a:stretch>
                                      <a:fillRect/>
                                    </a:stretch>
                                  </pic:blipFill>
                                  <pic:spPr bwMode="auto">
                                    <a:xfrm>
                                      <a:off x="0" y="0"/>
                                      <a:ext cx="819150" cy="276225"/>
                                    </a:xfrm>
                                    <a:prstGeom prst="rect">
                                      <a:avLst/>
                                    </a:prstGeom>
                                    <a:noFill/>
                                    <a:ln w="9525">
                                      <a:noFill/>
                                      <a:miter lim="800000"/>
                                      <a:headEnd/>
                                      <a:tailEnd/>
                                    </a:ln>
                                  </pic:spPr>
                                </pic:pic>
                              </a:graphicData>
                            </a:graphic>
                          </wp:inline>
                        </w:drawing>
                      </w:r>
                      <w:r>
                        <w:rPr>
                          <w:rFonts w:ascii="Helvetica" w:hAnsi="Helvetica" w:cs="Helvetica"/>
                          <w:color w:val="808080"/>
                          <w:sz w:val="20"/>
                          <w:szCs w:val="20"/>
                        </w:rPr>
                        <w:br/>
                        <w:t xml:space="preserve">Understanding Learning by © Dr Poppy Turner, on behalf of the National HE STEM Programme, South West Spoke, University of Bath is licensed under a </w:t>
                      </w:r>
                      <w:hyperlink r:id="rId13" w:history="1">
                        <w:r>
                          <w:rPr>
                            <w:rStyle w:val="Hyperlink"/>
                            <w:rFonts w:ascii="Helvetica" w:hAnsi="Helvetica" w:cs="Helvetica"/>
                            <w:sz w:val="20"/>
                            <w:szCs w:val="20"/>
                          </w:rPr>
                          <w:t>Creative Commons Attribution 2.0 UK: England &amp; Wales License</w:t>
                        </w:r>
                      </w:hyperlink>
                      <w:r>
                        <w:rPr>
                          <w:rFonts w:ascii="Helvetica" w:hAnsi="Helvetica" w:cs="Helvetica"/>
                          <w:color w:val="808080"/>
                          <w:sz w:val="20"/>
                          <w:szCs w:val="20"/>
                        </w:rPr>
                        <w:t xml:space="preserve"> </w:t>
                      </w:r>
                      <w:r w:rsidRPr="00573AA5">
                        <w:rPr>
                          <w:rFonts w:ascii="Helvetica" w:hAnsi="Helvetica" w:cs="Helvetica"/>
                          <w:color w:val="808080"/>
                          <w:sz w:val="20"/>
                          <w:szCs w:val="20"/>
                        </w:rPr>
                        <w:t xml:space="preserve">with the </w:t>
                      </w:r>
                      <w:r>
                        <w:rPr>
                          <w:rFonts w:ascii="Helvetica" w:hAnsi="Helvetica" w:cs="Helvetica"/>
                          <w:color w:val="808080"/>
                          <w:sz w:val="20"/>
                          <w:szCs w:val="20"/>
                        </w:rPr>
                        <w:t>exception of</w:t>
                      </w:r>
                      <w:r w:rsidRPr="00573AA5">
                        <w:rPr>
                          <w:rFonts w:ascii="Helvetica" w:hAnsi="Helvetica" w:cs="Helvetica"/>
                          <w:color w:val="808080"/>
                          <w:sz w:val="20"/>
                          <w:szCs w:val="20"/>
                        </w:rPr>
                        <w:t xml:space="preserve"> registered marks such as logos. All reproductions and repurposing must comply with the terms of that licence.</w:t>
                      </w:r>
                    </w:p>
                    <w:p w:rsidR="008E67AB" w:rsidRDefault="008E67AB" w:rsidP="00063D10">
                      <w:pPr>
                        <w:spacing w:line="270" w:lineRule="atLeast"/>
                        <w:jc w:val="center"/>
                        <w:rPr>
                          <w:rFonts w:ascii="Helvetica" w:hAnsi="Helvetica" w:cs="Helvetica"/>
                          <w:color w:val="808080"/>
                          <w:sz w:val="20"/>
                          <w:szCs w:val="20"/>
                        </w:rPr>
                      </w:pPr>
                    </w:p>
                    <w:p w:rsidR="008E67AB" w:rsidRDefault="008E67AB" w:rsidP="00063D10">
                      <w:pPr>
                        <w:spacing w:line="270" w:lineRule="atLeast"/>
                        <w:jc w:val="center"/>
                        <w:rPr>
                          <w:rFonts w:ascii="Helvetica" w:hAnsi="Helvetica" w:cs="Helvetica"/>
                          <w:color w:val="808080"/>
                          <w:sz w:val="20"/>
                          <w:szCs w:val="20"/>
                        </w:rPr>
                      </w:pPr>
                      <w:r>
                        <w:rPr>
                          <w:rFonts w:ascii="Helvetica" w:hAnsi="Helvetica" w:cs="Helvetica"/>
                          <w:color w:val="808080"/>
                          <w:sz w:val="20"/>
                          <w:szCs w:val="20"/>
                        </w:rPr>
                        <w:t>.</w:t>
                      </w:r>
                    </w:p>
                    <w:p w:rsidR="008E67AB" w:rsidRDefault="008E67AB" w:rsidP="00063D10"/>
                  </w:txbxContent>
                </v:textbox>
              </v:shape>
            </w:pict>
          </mc:Fallback>
        </mc:AlternateContent>
      </w:r>
    </w:p>
    <w:p w:rsidR="000C2D45" w:rsidRPr="005817CC" w:rsidRDefault="000C2D45" w:rsidP="007F1E13">
      <w:pPr>
        <w:rPr>
          <w:sz w:val="22"/>
        </w:rPr>
      </w:pPr>
    </w:p>
    <w:p w:rsidR="009B0D8E" w:rsidRPr="005817CC" w:rsidRDefault="009B0D8E" w:rsidP="007F1E13">
      <w:pPr>
        <w:rPr>
          <w:sz w:val="22"/>
        </w:rPr>
      </w:pPr>
    </w:p>
    <w:p w:rsidR="009B0D8E" w:rsidRPr="005817CC" w:rsidRDefault="009B0D8E" w:rsidP="007F1E13">
      <w:pPr>
        <w:rPr>
          <w:sz w:val="22"/>
        </w:rPr>
      </w:pPr>
    </w:p>
    <w:p w:rsidR="00063D10" w:rsidRPr="005817CC" w:rsidRDefault="00063D10" w:rsidP="007F1E13">
      <w:pPr>
        <w:rPr>
          <w:sz w:val="22"/>
        </w:rPr>
      </w:pPr>
    </w:p>
    <w:p w:rsidR="00063D10" w:rsidRPr="005817CC" w:rsidRDefault="00063D10" w:rsidP="007F1E13">
      <w:pPr>
        <w:rPr>
          <w:sz w:val="22"/>
        </w:rPr>
      </w:pPr>
    </w:p>
    <w:p w:rsidR="00063D10" w:rsidRPr="005817CC" w:rsidRDefault="00063D10" w:rsidP="007F1E13">
      <w:pPr>
        <w:rPr>
          <w:sz w:val="22"/>
        </w:rPr>
      </w:pPr>
    </w:p>
    <w:p w:rsidR="00063D10" w:rsidRPr="005817CC" w:rsidRDefault="00063D10" w:rsidP="007F1E13">
      <w:pPr>
        <w:rPr>
          <w:sz w:val="22"/>
        </w:rPr>
      </w:pPr>
    </w:p>
    <w:p w:rsidR="00063D10" w:rsidRPr="005817CC" w:rsidRDefault="00063D10" w:rsidP="007F1E13">
      <w:pPr>
        <w:rPr>
          <w:sz w:val="22"/>
        </w:rPr>
      </w:pPr>
    </w:p>
    <w:p w:rsidR="00063D10" w:rsidRPr="005817CC" w:rsidRDefault="00063D10" w:rsidP="007F1E13">
      <w:pPr>
        <w:rPr>
          <w:b/>
          <w:sz w:val="22"/>
          <w:lang w:val="en-GB"/>
        </w:rPr>
      </w:pPr>
    </w:p>
    <w:sectPr w:rsidR="00063D10" w:rsidRPr="005817CC" w:rsidSect="005817CC">
      <w:footerReference w:type="default" r:id="rId14"/>
      <w:pgSz w:w="12240" w:h="15840"/>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9B" w:rsidRDefault="0018539B" w:rsidP="007A7A04">
      <w:r>
        <w:separator/>
      </w:r>
    </w:p>
  </w:endnote>
  <w:endnote w:type="continuationSeparator" w:id="0">
    <w:p w:rsidR="0018539B" w:rsidRDefault="0018539B" w:rsidP="007A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20513533"/>
      <w:docPartObj>
        <w:docPartGallery w:val="Page Numbers (Bottom of Page)"/>
        <w:docPartUnique/>
      </w:docPartObj>
    </w:sdtPr>
    <w:sdtEndPr/>
    <w:sdtContent>
      <w:p w:rsidR="008E67AB" w:rsidRPr="009B0D8E" w:rsidRDefault="008E67AB" w:rsidP="007A7A04">
        <w:pPr>
          <w:pStyle w:val="Footer"/>
          <w:rPr>
            <w:sz w:val="22"/>
            <w:szCs w:val="22"/>
          </w:rPr>
        </w:pPr>
        <w:r w:rsidRPr="009B0D8E">
          <w:rPr>
            <w:sz w:val="22"/>
            <w:szCs w:val="22"/>
          </w:rPr>
          <w:t>Dr Poppy Turner, February 2012</w:t>
        </w:r>
        <w:r w:rsidRPr="009B0D8E">
          <w:rPr>
            <w:sz w:val="22"/>
            <w:szCs w:val="22"/>
          </w:rPr>
          <w:tab/>
        </w:r>
        <w:r w:rsidRPr="009B0D8E">
          <w:rPr>
            <w:sz w:val="22"/>
            <w:szCs w:val="22"/>
          </w:rPr>
          <w:tab/>
        </w:r>
        <w:r w:rsidR="00954280" w:rsidRPr="009B0D8E">
          <w:rPr>
            <w:sz w:val="22"/>
            <w:szCs w:val="22"/>
          </w:rPr>
          <w:fldChar w:fldCharType="begin"/>
        </w:r>
        <w:r w:rsidRPr="009B0D8E">
          <w:rPr>
            <w:sz w:val="22"/>
            <w:szCs w:val="22"/>
          </w:rPr>
          <w:instrText xml:space="preserve"> PAGE   \* MERGEFORMAT </w:instrText>
        </w:r>
        <w:r w:rsidR="00954280" w:rsidRPr="009B0D8E">
          <w:rPr>
            <w:sz w:val="22"/>
            <w:szCs w:val="22"/>
          </w:rPr>
          <w:fldChar w:fldCharType="separate"/>
        </w:r>
        <w:r w:rsidR="005817CC">
          <w:rPr>
            <w:noProof/>
            <w:sz w:val="22"/>
            <w:szCs w:val="22"/>
          </w:rPr>
          <w:t>1</w:t>
        </w:r>
        <w:r w:rsidR="00954280" w:rsidRPr="009B0D8E">
          <w:rPr>
            <w:sz w:val="22"/>
            <w:szCs w:val="22"/>
          </w:rPr>
          <w:fldChar w:fldCharType="end"/>
        </w:r>
      </w:p>
    </w:sdtContent>
  </w:sdt>
  <w:p w:rsidR="008E67AB" w:rsidRDefault="008E6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9B" w:rsidRDefault="0018539B" w:rsidP="007A7A04">
      <w:r>
        <w:separator/>
      </w:r>
    </w:p>
  </w:footnote>
  <w:footnote w:type="continuationSeparator" w:id="0">
    <w:p w:rsidR="0018539B" w:rsidRDefault="0018539B" w:rsidP="007A7A04">
      <w:r>
        <w:continuationSeparator/>
      </w:r>
    </w:p>
  </w:footnote>
  <w:footnote w:id="1">
    <w:p w:rsidR="008E67AB" w:rsidRPr="0015602E" w:rsidRDefault="008E67AB" w:rsidP="00063D10">
      <w:pPr>
        <w:rPr>
          <w:rFonts w:eastAsia="Times New Roman" w:cs="Times New Roman"/>
          <w:sz w:val="20"/>
          <w:szCs w:val="20"/>
        </w:rPr>
      </w:pPr>
      <w:r>
        <w:rPr>
          <w:rStyle w:val="FootnoteReference"/>
        </w:rPr>
        <w:footnoteRef/>
      </w:r>
      <w:r>
        <w:t xml:space="preserve"> </w:t>
      </w:r>
      <w:r w:rsidRPr="0015602E">
        <w:rPr>
          <w:rFonts w:eastAsia="Times New Roman"/>
          <w:sz w:val="22"/>
          <w:szCs w:val="22"/>
        </w:rPr>
        <w:t xml:space="preserve">Turner, P. (2005).  </w:t>
      </w:r>
      <w:r w:rsidRPr="0015602E">
        <w:rPr>
          <w:rFonts w:eastAsia="Times New Roman"/>
          <w:i/>
          <w:sz w:val="22"/>
          <w:szCs w:val="22"/>
        </w:rPr>
        <w:t>Undergraduate learning at programme level: an analysis of students’ perspectives</w:t>
      </w:r>
      <w:r w:rsidRPr="0015602E">
        <w:rPr>
          <w:rFonts w:eastAsia="Times New Roman"/>
          <w:sz w:val="22"/>
          <w:szCs w:val="22"/>
        </w:rPr>
        <w:t>.  PhD thesis, University of Bath.</w:t>
      </w:r>
      <w:r w:rsidRPr="0015602E">
        <w:rPr>
          <w:rFonts w:ascii="Courier New" w:eastAsia="Times New Roman" w:hAnsi="Courier New" w:cs="Courier New"/>
          <w:b/>
          <w:bCs/>
          <w:color w:val="000000"/>
          <w:sz w:val="22"/>
          <w:szCs w:val="22"/>
        </w:rPr>
        <w:t xml:space="preserve"> </w:t>
      </w:r>
      <w:hyperlink r:id="rId1" w:history="1">
        <w:r w:rsidRPr="0015602E">
          <w:rPr>
            <w:rFonts w:eastAsia="Times New Roman"/>
            <w:color w:val="0000FF"/>
            <w:sz w:val="22"/>
            <w:szCs w:val="22"/>
            <w:u w:val="single"/>
          </w:rPr>
          <w:t>http://opus.bath.ac.uk/432/</w:t>
        </w:r>
      </w:hyperlink>
    </w:p>
    <w:p w:rsidR="008E67AB" w:rsidRPr="00063D10" w:rsidRDefault="008E67AB">
      <w:pPr>
        <w:pStyle w:val="Footnote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70CB3"/>
    <w:multiLevelType w:val="hybridMultilevel"/>
    <w:tmpl w:val="B6E6107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6CC76EC0"/>
    <w:multiLevelType w:val="hybridMultilevel"/>
    <w:tmpl w:val="28466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4A47C9F"/>
    <w:multiLevelType w:val="hybridMultilevel"/>
    <w:tmpl w:val="4D06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2A"/>
    <w:rsid w:val="00051A1A"/>
    <w:rsid w:val="00061D2A"/>
    <w:rsid w:val="00063D10"/>
    <w:rsid w:val="0008045B"/>
    <w:rsid w:val="000A2324"/>
    <w:rsid w:val="000A6168"/>
    <w:rsid w:val="000B083D"/>
    <w:rsid w:val="000B088B"/>
    <w:rsid w:val="000C2D45"/>
    <w:rsid w:val="000F1FE7"/>
    <w:rsid w:val="0011050C"/>
    <w:rsid w:val="00157954"/>
    <w:rsid w:val="00157ACD"/>
    <w:rsid w:val="0018539B"/>
    <w:rsid w:val="001A5E4D"/>
    <w:rsid w:val="001B2EE3"/>
    <w:rsid w:val="001D7EDD"/>
    <w:rsid w:val="002206F6"/>
    <w:rsid w:val="00222219"/>
    <w:rsid w:val="0024058E"/>
    <w:rsid w:val="002A1B38"/>
    <w:rsid w:val="002E7820"/>
    <w:rsid w:val="002F40B7"/>
    <w:rsid w:val="003164C4"/>
    <w:rsid w:val="0032097D"/>
    <w:rsid w:val="00337914"/>
    <w:rsid w:val="0035429C"/>
    <w:rsid w:val="003B20CC"/>
    <w:rsid w:val="003B35D5"/>
    <w:rsid w:val="003E5C4D"/>
    <w:rsid w:val="0040434C"/>
    <w:rsid w:val="00405759"/>
    <w:rsid w:val="004520A4"/>
    <w:rsid w:val="0048400E"/>
    <w:rsid w:val="004B7608"/>
    <w:rsid w:val="004C62E5"/>
    <w:rsid w:val="0050702D"/>
    <w:rsid w:val="00552DF1"/>
    <w:rsid w:val="00580153"/>
    <w:rsid w:val="005817CC"/>
    <w:rsid w:val="005B3554"/>
    <w:rsid w:val="005B4603"/>
    <w:rsid w:val="005C321B"/>
    <w:rsid w:val="005D42DA"/>
    <w:rsid w:val="005E2D36"/>
    <w:rsid w:val="005F48F1"/>
    <w:rsid w:val="0064068D"/>
    <w:rsid w:val="00644EC0"/>
    <w:rsid w:val="00665EFD"/>
    <w:rsid w:val="00674EC3"/>
    <w:rsid w:val="00690987"/>
    <w:rsid w:val="006F1586"/>
    <w:rsid w:val="006F1B4C"/>
    <w:rsid w:val="0074087E"/>
    <w:rsid w:val="007756D2"/>
    <w:rsid w:val="00795192"/>
    <w:rsid w:val="007A7A04"/>
    <w:rsid w:val="007B181B"/>
    <w:rsid w:val="007D08D6"/>
    <w:rsid w:val="007D4FEB"/>
    <w:rsid w:val="007D58B5"/>
    <w:rsid w:val="007F1E13"/>
    <w:rsid w:val="00811D34"/>
    <w:rsid w:val="00816B02"/>
    <w:rsid w:val="00837D34"/>
    <w:rsid w:val="00862961"/>
    <w:rsid w:val="008E67AB"/>
    <w:rsid w:val="0090157F"/>
    <w:rsid w:val="00954280"/>
    <w:rsid w:val="00986B7F"/>
    <w:rsid w:val="009A3242"/>
    <w:rsid w:val="009B0D8E"/>
    <w:rsid w:val="00A1048A"/>
    <w:rsid w:val="00A745B1"/>
    <w:rsid w:val="00A818CF"/>
    <w:rsid w:val="00A8446C"/>
    <w:rsid w:val="00AB3558"/>
    <w:rsid w:val="00AC7F2C"/>
    <w:rsid w:val="00B003C3"/>
    <w:rsid w:val="00B30DE0"/>
    <w:rsid w:val="00B30F72"/>
    <w:rsid w:val="00B62014"/>
    <w:rsid w:val="00BC7ED1"/>
    <w:rsid w:val="00C3329A"/>
    <w:rsid w:val="00C47DDD"/>
    <w:rsid w:val="00C614E3"/>
    <w:rsid w:val="00C8530B"/>
    <w:rsid w:val="00D36337"/>
    <w:rsid w:val="00D61870"/>
    <w:rsid w:val="00E204AA"/>
    <w:rsid w:val="00E35E77"/>
    <w:rsid w:val="00EB292D"/>
    <w:rsid w:val="00ED1338"/>
    <w:rsid w:val="00EF0B17"/>
    <w:rsid w:val="00F23A90"/>
    <w:rsid w:val="00F679E4"/>
    <w:rsid w:val="00FA0D62"/>
    <w:rsid w:val="00FB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6D2"/>
    <w:pPr>
      <w:ind w:left="720"/>
      <w:contextualSpacing/>
    </w:pPr>
  </w:style>
  <w:style w:type="paragraph" w:styleId="Header">
    <w:name w:val="header"/>
    <w:basedOn w:val="Normal"/>
    <w:link w:val="HeaderChar"/>
    <w:uiPriority w:val="99"/>
    <w:semiHidden/>
    <w:unhideWhenUsed/>
    <w:rsid w:val="007A7A04"/>
    <w:pPr>
      <w:tabs>
        <w:tab w:val="center" w:pos="4680"/>
        <w:tab w:val="right" w:pos="9360"/>
      </w:tabs>
    </w:pPr>
  </w:style>
  <w:style w:type="character" w:customStyle="1" w:styleId="HeaderChar">
    <w:name w:val="Header Char"/>
    <w:basedOn w:val="DefaultParagraphFont"/>
    <w:link w:val="Header"/>
    <w:uiPriority w:val="99"/>
    <w:semiHidden/>
    <w:rsid w:val="007A7A04"/>
  </w:style>
  <w:style w:type="paragraph" w:styleId="Footer">
    <w:name w:val="footer"/>
    <w:basedOn w:val="Normal"/>
    <w:link w:val="FooterChar"/>
    <w:uiPriority w:val="99"/>
    <w:unhideWhenUsed/>
    <w:rsid w:val="007A7A04"/>
    <w:pPr>
      <w:tabs>
        <w:tab w:val="center" w:pos="4680"/>
        <w:tab w:val="right" w:pos="9360"/>
      </w:tabs>
    </w:pPr>
  </w:style>
  <w:style w:type="character" w:customStyle="1" w:styleId="FooterChar">
    <w:name w:val="Footer Char"/>
    <w:basedOn w:val="DefaultParagraphFont"/>
    <w:link w:val="Footer"/>
    <w:uiPriority w:val="99"/>
    <w:rsid w:val="007A7A04"/>
  </w:style>
  <w:style w:type="paragraph" w:styleId="FootnoteText">
    <w:name w:val="footnote text"/>
    <w:basedOn w:val="Normal"/>
    <w:link w:val="FootnoteTextChar"/>
    <w:uiPriority w:val="99"/>
    <w:semiHidden/>
    <w:unhideWhenUsed/>
    <w:rsid w:val="00A1048A"/>
    <w:rPr>
      <w:sz w:val="20"/>
      <w:szCs w:val="20"/>
    </w:rPr>
  </w:style>
  <w:style w:type="character" w:customStyle="1" w:styleId="FootnoteTextChar">
    <w:name w:val="Footnote Text Char"/>
    <w:basedOn w:val="DefaultParagraphFont"/>
    <w:link w:val="FootnoteText"/>
    <w:uiPriority w:val="99"/>
    <w:semiHidden/>
    <w:rsid w:val="00A1048A"/>
    <w:rPr>
      <w:sz w:val="20"/>
      <w:szCs w:val="20"/>
    </w:rPr>
  </w:style>
  <w:style w:type="character" w:styleId="FootnoteReference">
    <w:name w:val="footnote reference"/>
    <w:basedOn w:val="DefaultParagraphFont"/>
    <w:uiPriority w:val="99"/>
    <w:semiHidden/>
    <w:unhideWhenUsed/>
    <w:rsid w:val="00A1048A"/>
    <w:rPr>
      <w:vertAlign w:val="superscript"/>
    </w:rPr>
  </w:style>
  <w:style w:type="character" w:styleId="Hyperlink">
    <w:name w:val="Hyperlink"/>
    <w:basedOn w:val="DefaultParagraphFont"/>
    <w:uiPriority w:val="99"/>
    <w:rsid w:val="00063D10"/>
    <w:rPr>
      <w:rFonts w:cs="Times New Roman"/>
      <w:color w:val="0000FF"/>
      <w:u w:val="single"/>
    </w:rPr>
  </w:style>
  <w:style w:type="paragraph" w:styleId="BalloonText">
    <w:name w:val="Balloon Text"/>
    <w:basedOn w:val="Normal"/>
    <w:link w:val="BalloonTextChar"/>
    <w:uiPriority w:val="99"/>
    <w:semiHidden/>
    <w:unhideWhenUsed/>
    <w:rsid w:val="00063D10"/>
    <w:rPr>
      <w:rFonts w:ascii="Tahoma" w:hAnsi="Tahoma" w:cs="Tahoma"/>
      <w:sz w:val="16"/>
      <w:szCs w:val="16"/>
    </w:rPr>
  </w:style>
  <w:style w:type="character" w:customStyle="1" w:styleId="BalloonTextChar">
    <w:name w:val="Balloon Text Char"/>
    <w:basedOn w:val="DefaultParagraphFont"/>
    <w:link w:val="BalloonText"/>
    <w:uiPriority w:val="99"/>
    <w:semiHidden/>
    <w:rsid w:val="00063D10"/>
    <w:rPr>
      <w:rFonts w:ascii="Tahoma" w:hAnsi="Tahoma" w:cs="Tahoma"/>
      <w:sz w:val="16"/>
      <w:szCs w:val="16"/>
    </w:rPr>
  </w:style>
  <w:style w:type="paragraph" w:styleId="BodyText">
    <w:name w:val="Body Text"/>
    <w:basedOn w:val="Normal"/>
    <w:link w:val="BodyTextChar"/>
    <w:rsid w:val="00816B02"/>
    <w:pPr>
      <w:jc w:val="both"/>
    </w:pPr>
    <w:rPr>
      <w:rFonts w:eastAsia="Times New Roman" w:cs="Times New Roman"/>
      <w:lang w:val="en-GB"/>
    </w:rPr>
  </w:style>
  <w:style w:type="character" w:customStyle="1" w:styleId="BodyTextChar">
    <w:name w:val="Body Text Char"/>
    <w:basedOn w:val="DefaultParagraphFont"/>
    <w:link w:val="BodyText"/>
    <w:rsid w:val="00816B02"/>
    <w:rPr>
      <w:rFonts w:eastAsia="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6D2"/>
    <w:pPr>
      <w:ind w:left="720"/>
      <w:contextualSpacing/>
    </w:pPr>
  </w:style>
  <w:style w:type="paragraph" w:styleId="Header">
    <w:name w:val="header"/>
    <w:basedOn w:val="Normal"/>
    <w:link w:val="HeaderChar"/>
    <w:uiPriority w:val="99"/>
    <w:semiHidden/>
    <w:unhideWhenUsed/>
    <w:rsid w:val="007A7A04"/>
    <w:pPr>
      <w:tabs>
        <w:tab w:val="center" w:pos="4680"/>
        <w:tab w:val="right" w:pos="9360"/>
      </w:tabs>
    </w:pPr>
  </w:style>
  <w:style w:type="character" w:customStyle="1" w:styleId="HeaderChar">
    <w:name w:val="Header Char"/>
    <w:basedOn w:val="DefaultParagraphFont"/>
    <w:link w:val="Header"/>
    <w:uiPriority w:val="99"/>
    <w:semiHidden/>
    <w:rsid w:val="007A7A04"/>
  </w:style>
  <w:style w:type="paragraph" w:styleId="Footer">
    <w:name w:val="footer"/>
    <w:basedOn w:val="Normal"/>
    <w:link w:val="FooterChar"/>
    <w:uiPriority w:val="99"/>
    <w:unhideWhenUsed/>
    <w:rsid w:val="007A7A04"/>
    <w:pPr>
      <w:tabs>
        <w:tab w:val="center" w:pos="4680"/>
        <w:tab w:val="right" w:pos="9360"/>
      </w:tabs>
    </w:pPr>
  </w:style>
  <w:style w:type="character" w:customStyle="1" w:styleId="FooterChar">
    <w:name w:val="Footer Char"/>
    <w:basedOn w:val="DefaultParagraphFont"/>
    <w:link w:val="Footer"/>
    <w:uiPriority w:val="99"/>
    <w:rsid w:val="007A7A04"/>
  </w:style>
  <w:style w:type="paragraph" w:styleId="FootnoteText">
    <w:name w:val="footnote text"/>
    <w:basedOn w:val="Normal"/>
    <w:link w:val="FootnoteTextChar"/>
    <w:uiPriority w:val="99"/>
    <w:semiHidden/>
    <w:unhideWhenUsed/>
    <w:rsid w:val="00A1048A"/>
    <w:rPr>
      <w:sz w:val="20"/>
      <w:szCs w:val="20"/>
    </w:rPr>
  </w:style>
  <w:style w:type="character" w:customStyle="1" w:styleId="FootnoteTextChar">
    <w:name w:val="Footnote Text Char"/>
    <w:basedOn w:val="DefaultParagraphFont"/>
    <w:link w:val="FootnoteText"/>
    <w:uiPriority w:val="99"/>
    <w:semiHidden/>
    <w:rsid w:val="00A1048A"/>
    <w:rPr>
      <w:sz w:val="20"/>
      <w:szCs w:val="20"/>
    </w:rPr>
  </w:style>
  <w:style w:type="character" w:styleId="FootnoteReference">
    <w:name w:val="footnote reference"/>
    <w:basedOn w:val="DefaultParagraphFont"/>
    <w:uiPriority w:val="99"/>
    <w:semiHidden/>
    <w:unhideWhenUsed/>
    <w:rsid w:val="00A1048A"/>
    <w:rPr>
      <w:vertAlign w:val="superscript"/>
    </w:rPr>
  </w:style>
  <w:style w:type="character" w:styleId="Hyperlink">
    <w:name w:val="Hyperlink"/>
    <w:basedOn w:val="DefaultParagraphFont"/>
    <w:uiPriority w:val="99"/>
    <w:rsid w:val="00063D10"/>
    <w:rPr>
      <w:rFonts w:cs="Times New Roman"/>
      <w:color w:val="0000FF"/>
      <w:u w:val="single"/>
    </w:rPr>
  </w:style>
  <w:style w:type="paragraph" w:styleId="BalloonText">
    <w:name w:val="Balloon Text"/>
    <w:basedOn w:val="Normal"/>
    <w:link w:val="BalloonTextChar"/>
    <w:uiPriority w:val="99"/>
    <w:semiHidden/>
    <w:unhideWhenUsed/>
    <w:rsid w:val="00063D10"/>
    <w:rPr>
      <w:rFonts w:ascii="Tahoma" w:hAnsi="Tahoma" w:cs="Tahoma"/>
      <w:sz w:val="16"/>
      <w:szCs w:val="16"/>
    </w:rPr>
  </w:style>
  <w:style w:type="character" w:customStyle="1" w:styleId="BalloonTextChar">
    <w:name w:val="Balloon Text Char"/>
    <w:basedOn w:val="DefaultParagraphFont"/>
    <w:link w:val="BalloonText"/>
    <w:uiPriority w:val="99"/>
    <w:semiHidden/>
    <w:rsid w:val="00063D10"/>
    <w:rPr>
      <w:rFonts w:ascii="Tahoma" w:hAnsi="Tahoma" w:cs="Tahoma"/>
      <w:sz w:val="16"/>
      <w:szCs w:val="16"/>
    </w:rPr>
  </w:style>
  <w:style w:type="paragraph" w:styleId="BodyText">
    <w:name w:val="Body Text"/>
    <w:basedOn w:val="Normal"/>
    <w:link w:val="BodyTextChar"/>
    <w:rsid w:val="00816B02"/>
    <w:pPr>
      <w:jc w:val="both"/>
    </w:pPr>
    <w:rPr>
      <w:rFonts w:eastAsia="Times New Roman" w:cs="Times New Roman"/>
      <w:lang w:val="en-GB"/>
    </w:rPr>
  </w:style>
  <w:style w:type="character" w:customStyle="1" w:styleId="BodyTextChar">
    <w:name w:val="Body Text Char"/>
    <w:basedOn w:val="DefaultParagraphFont"/>
    <w:link w:val="BodyText"/>
    <w:rsid w:val="00816B02"/>
    <w:rPr>
      <w:rFonts w:eastAsia="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2.0/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eativecommons.org/licenses/by/2.0/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reativecommons.org/licenses/by/2.0/uk" TargetMode="External"/><Relationship Id="rId4" Type="http://schemas.microsoft.com/office/2007/relationships/stylesWithEffects" Target="stylesWithEffects.xml"/><Relationship Id="rId9" Type="http://schemas.openxmlformats.org/officeDocument/2006/relationships/hyperlink" Target="http://www.bioscience.heacademy.ac.uk/journal/vol7/beej-7-5"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opus.bath.ac.uk/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24173-0749-4EEA-904F-A94E7766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CAE806DB.dotm</Template>
  <TotalTime>1</TotalTime>
  <Pages>4</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dc:creator>
  <cp:lastModifiedBy>Sarah Chatwin</cp:lastModifiedBy>
  <cp:revision>2</cp:revision>
  <cp:lastPrinted>2012-02-24T16:56:00Z</cp:lastPrinted>
  <dcterms:created xsi:type="dcterms:W3CDTF">2012-02-24T17:02:00Z</dcterms:created>
  <dcterms:modified xsi:type="dcterms:W3CDTF">2012-02-24T17:02:00Z</dcterms:modified>
</cp:coreProperties>
</file>