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35" w:rsidRDefault="00B12216" w:rsidP="00B12216">
      <w:pPr>
        <w:pStyle w:val="Title"/>
      </w:pPr>
      <w:bookmarkStart w:id="0" w:name="_GoBack"/>
      <w:bookmarkEnd w:id="0"/>
      <w:r>
        <w:t>Graduate skills development and the curriculum</w:t>
      </w:r>
    </w:p>
    <w:p w:rsidR="00B12216" w:rsidRDefault="00071430" w:rsidP="00B12216">
      <w:pPr>
        <w:pStyle w:val="Subtitle"/>
        <w:jc w:val="center"/>
      </w:pPr>
      <w:r>
        <w:t>HE STEM workshop, Bath, Thursday 16</w:t>
      </w:r>
      <w:r w:rsidR="00B12216" w:rsidRPr="00B12216">
        <w:rPr>
          <w:vertAlign w:val="superscript"/>
        </w:rPr>
        <w:t>th</w:t>
      </w:r>
      <w:r w:rsidR="00B12216">
        <w:t xml:space="preserve"> </w:t>
      </w:r>
      <w:r>
        <w:t>February</w:t>
      </w:r>
    </w:p>
    <w:p w:rsidR="00B12216" w:rsidRDefault="00B12216" w:rsidP="00B12216">
      <w:pPr>
        <w:pStyle w:val="Heading1"/>
      </w:pPr>
      <w:r>
        <w:t>Overview</w:t>
      </w:r>
    </w:p>
    <w:p w:rsidR="00B12216" w:rsidRDefault="00B12216" w:rsidP="00B12216">
      <w:r w:rsidRPr="00B12216">
        <w:t xml:space="preserve">The afternoon </w:t>
      </w:r>
      <w:r>
        <w:t xml:space="preserve">workshops </w:t>
      </w:r>
      <w:r w:rsidRPr="00B12216">
        <w:t>will address the role of graduate skills development in the undergraduate curriculum.  Sessions will explore the needs of graduate employers and our students and we will consider models for engaging students and employers in curriculum design.  Recognising the critical role that assessment and feedback play in learning, we consider also how to assess the development of graduate skills.</w:t>
      </w:r>
    </w:p>
    <w:p w:rsidR="00B12216" w:rsidRPr="00A237AE" w:rsidRDefault="00B12216" w:rsidP="00B12216">
      <w:pPr>
        <w:rPr>
          <w:u w:val="single"/>
        </w:rPr>
      </w:pPr>
      <w:r w:rsidRPr="00A237AE">
        <w:rPr>
          <w:u w:val="single"/>
        </w:rPr>
        <w:t>The aims of the afternoon workshops are:</w:t>
      </w:r>
    </w:p>
    <w:p w:rsidR="00B12216" w:rsidRDefault="00D67FAA" w:rsidP="00B12216">
      <w:pPr>
        <w:pStyle w:val="ListParagraph"/>
        <w:numPr>
          <w:ilvl w:val="0"/>
          <w:numId w:val="1"/>
        </w:numPr>
      </w:pPr>
      <w:r>
        <w:t>to map opportunities for students and employers to shape the curriculum;</w:t>
      </w:r>
    </w:p>
    <w:p w:rsidR="00D67FAA" w:rsidRPr="00D67FAA" w:rsidRDefault="00D67FAA" w:rsidP="00D67FAA">
      <w:pPr>
        <w:pStyle w:val="ListParagraph"/>
        <w:rPr>
          <w:sz w:val="12"/>
          <w:szCs w:val="12"/>
        </w:rPr>
      </w:pPr>
    </w:p>
    <w:p w:rsidR="00D67FAA" w:rsidRDefault="00D67FAA" w:rsidP="00B12216">
      <w:pPr>
        <w:pStyle w:val="ListParagraph"/>
        <w:numPr>
          <w:ilvl w:val="0"/>
          <w:numId w:val="1"/>
        </w:numPr>
      </w:pPr>
      <w:r>
        <w:t>to review the provision of graduate skills development in the curriculum;</w:t>
      </w:r>
    </w:p>
    <w:p w:rsidR="00D67FAA" w:rsidRPr="00D67FAA" w:rsidRDefault="00D67FAA" w:rsidP="00D67FAA">
      <w:pPr>
        <w:pStyle w:val="ListParagraph"/>
        <w:rPr>
          <w:sz w:val="12"/>
          <w:szCs w:val="12"/>
        </w:rPr>
      </w:pPr>
    </w:p>
    <w:p w:rsidR="00D67FAA" w:rsidRDefault="00D67FAA" w:rsidP="00B12216">
      <w:pPr>
        <w:pStyle w:val="ListParagraph"/>
        <w:numPr>
          <w:ilvl w:val="0"/>
          <w:numId w:val="1"/>
        </w:numPr>
      </w:pPr>
      <w:r>
        <w:t>to identify areas for improvement and consider models for achieving this.</w:t>
      </w:r>
    </w:p>
    <w:p w:rsidR="00984EB2" w:rsidRDefault="00984EB2" w:rsidP="00984EB2">
      <w:pPr>
        <w:pStyle w:val="Heading1"/>
      </w:pPr>
      <w:r>
        <w:t xml:space="preserve">Session 1: </w:t>
      </w:r>
      <w:r w:rsidRPr="00984EB2">
        <w:t>Empowering students to shape their curriculum</w:t>
      </w:r>
    </w:p>
    <w:p w:rsidR="00984EB2" w:rsidRDefault="00A237AE" w:rsidP="00984EB2">
      <w:r>
        <w:t>The proposed new funding arrangement</w:t>
      </w:r>
      <w:r w:rsidR="007172F9">
        <w:t>s for Higher Education from 2012/13</w:t>
      </w:r>
      <w:r>
        <w:t xml:space="preserve"> appear likely to herald a change in the relationship between institutions and their students.  With the government championing a consumer model for Higher Education, institutions </w:t>
      </w:r>
      <w:r w:rsidR="00102B5B">
        <w:t>appear eager to foster a more nuanced relationship, emphasising ‘shared ownership’ and opportunities for ‘co-creation’ of the curriculum.</w:t>
      </w:r>
    </w:p>
    <w:p w:rsidR="007A2185" w:rsidRDefault="007A2185" w:rsidP="00984EB2">
      <w:r>
        <w:t>Whilst the decisions over whether or not to enter Higher Education, where to go and what to study are complex, students appear to value most the graduate employment opportunities afforded by their degree.</w:t>
      </w:r>
      <w:r w:rsidR="00421B38">
        <w:t xml:space="preserve">  </w:t>
      </w:r>
      <w:r w:rsidR="0076105D">
        <w:t xml:space="preserve">In the “Maths at University” report produced by the More Maths Grads project </w:t>
      </w:r>
      <w:r w:rsidR="002E2293">
        <w:t>(2007-</w:t>
      </w:r>
      <w:r w:rsidR="0076105D">
        <w:t>2010</w:t>
      </w:r>
      <w:r w:rsidR="002E2293">
        <w:t>)</w:t>
      </w:r>
      <w:r w:rsidR="0076105D">
        <w:t xml:space="preserve">, employability emerged as the key reason cited by mathematics students for choosing to go to University.  The results from a similar study carried out with </w:t>
      </w:r>
      <w:r w:rsidR="00421B38">
        <w:t>first-year single honours mathematicians</w:t>
      </w:r>
      <w:r w:rsidR="007172F9">
        <w:t xml:space="preserve"> </w:t>
      </w:r>
      <w:r w:rsidR="00421B38">
        <w:t>at Exeter</w:t>
      </w:r>
      <w:r w:rsidR="0076105D">
        <w:t xml:space="preserve"> confirmed these findings (Figure 1 and Table 1)</w:t>
      </w:r>
      <w:r w:rsidR="00421B38">
        <w:t>.</w:t>
      </w:r>
    </w:p>
    <w:p w:rsidR="00494FF4" w:rsidRDefault="00494FF4" w:rsidP="00984EB2"/>
    <w:p w:rsidR="00494FF4" w:rsidRDefault="00494FF4" w:rsidP="002338A0">
      <w:pPr>
        <w:shd w:val="clear" w:color="auto" w:fill="C6D9F1" w:themeFill="text2" w:themeFillTint="33"/>
      </w:pPr>
      <w:r w:rsidRPr="00494FF4">
        <w:t>Q:</w:t>
      </w:r>
      <w:r>
        <w:t xml:space="preserve"> </w:t>
      </w:r>
      <w:r w:rsidRPr="00494FF4">
        <w:rPr>
          <w:rStyle w:val="Emphasis"/>
        </w:rPr>
        <w:t>To what extent are these findings mirrored in other STEM subjects?</w:t>
      </w:r>
      <w:r>
        <w:t xml:space="preserve">  (If you would like to implement your own survey then I would be happy to share an </w:t>
      </w:r>
      <w:r w:rsidR="00E05869">
        <w:t>electronic version</w:t>
      </w:r>
      <w:r>
        <w:t>.)</w:t>
      </w:r>
    </w:p>
    <w:p w:rsidR="00421B38" w:rsidRDefault="00421B38" w:rsidP="00984EB2">
      <w:r w:rsidRPr="00421B38">
        <w:rPr>
          <w:noProof/>
        </w:rPr>
        <w:lastRenderedPageBreak/>
        <w:drawing>
          <wp:inline distT="0" distB="0" distL="0" distR="0">
            <wp:extent cx="5731510" cy="3181350"/>
            <wp:effectExtent l="19050" t="0" r="2159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1B8E" w:rsidRPr="00C93D4C" w:rsidRDefault="00911B8E" w:rsidP="00C93D4C">
      <w:pPr>
        <w:pStyle w:val="Caption"/>
        <w:rPr>
          <w:b w:val="0"/>
          <w:i/>
          <w:color w:val="000000" w:themeColor="text1"/>
        </w:rPr>
      </w:pPr>
      <w:bookmarkStart w:id="1" w:name="_Ref307818865"/>
      <w:bookmarkStart w:id="2" w:name="_Ref307818846"/>
      <w:r>
        <w:t xml:space="preserve">Figure </w:t>
      </w:r>
      <w:r w:rsidR="00FD178E">
        <w:fldChar w:fldCharType="begin"/>
      </w:r>
      <w:r w:rsidR="00FD178E">
        <w:instrText xml:space="preserve"> SEQ Figure \* ARABIC </w:instrText>
      </w:r>
      <w:r w:rsidR="00FD178E">
        <w:fldChar w:fldCharType="separate"/>
      </w:r>
      <w:r>
        <w:rPr>
          <w:noProof/>
        </w:rPr>
        <w:t>1</w:t>
      </w:r>
      <w:r w:rsidR="00FD178E">
        <w:rPr>
          <w:noProof/>
        </w:rPr>
        <w:fldChar w:fldCharType="end"/>
      </w:r>
      <w:bookmarkEnd w:id="1"/>
      <w:r>
        <w:t xml:space="preserve"> </w:t>
      </w:r>
      <w:r w:rsidR="000866B5">
        <w:rPr>
          <w:b w:val="0"/>
          <w:i/>
          <w:color w:val="000000" w:themeColor="text1"/>
          <w:sz w:val="20"/>
        </w:rPr>
        <w:t xml:space="preserve">Responses of </w:t>
      </w:r>
      <w:r w:rsidR="000866B5" w:rsidRPr="000866B5">
        <w:rPr>
          <w:b w:val="0"/>
          <w:i/>
          <w:color w:val="000000" w:themeColor="text1"/>
          <w:sz w:val="20"/>
        </w:rPr>
        <w:t>single-honours first-year mathematicians at Exeter to the question</w:t>
      </w:r>
      <w:r w:rsidRPr="004148A7">
        <w:rPr>
          <w:b w:val="0"/>
          <w:i/>
          <w:color w:val="000000" w:themeColor="text1"/>
          <w:sz w:val="20"/>
        </w:rPr>
        <w:t xml:space="preserve"> of how important each factor was in deciding to study at university in 2011.</w:t>
      </w:r>
      <w:bookmarkEnd w:id="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gridCol w:w="968"/>
        <w:gridCol w:w="988"/>
        <w:gridCol w:w="959"/>
        <w:gridCol w:w="959"/>
      </w:tblGrid>
      <w:tr w:rsidR="007A2185" w:rsidRPr="000F093D" w:rsidTr="008657EA">
        <w:trPr>
          <w:jc w:val="center"/>
        </w:trPr>
        <w:tc>
          <w:tcPr>
            <w:tcW w:w="5368" w:type="dxa"/>
            <w:tcBorders>
              <w:bottom w:val="single" w:sz="4" w:space="0" w:color="auto"/>
              <w:right w:val="single" w:sz="4" w:space="0" w:color="auto"/>
            </w:tcBorders>
          </w:tcPr>
          <w:p w:rsidR="007A2185" w:rsidRPr="000F093D" w:rsidRDefault="007A2185" w:rsidP="008657EA">
            <w:pPr>
              <w:jc w:val="left"/>
              <w:rPr>
                <w:b/>
                <w:sz w:val="20"/>
              </w:rPr>
            </w:pPr>
          </w:p>
        </w:tc>
        <w:tc>
          <w:tcPr>
            <w:tcW w:w="1956" w:type="dxa"/>
            <w:gridSpan w:val="2"/>
            <w:tcBorders>
              <w:top w:val="single" w:sz="4" w:space="0" w:color="auto"/>
              <w:left w:val="single" w:sz="4" w:space="0" w:color="auto"/>
              <w:right w:val="single" w:sz="4" w:space="0" w:color="auto"/>
            </w:tcBorders>
          </w:tcPr>
          <w:p w:rsidR="007A2185" w:rsidRPr="000F093D" w:rsidRDefault="007A2185" w:rsidP="008657EA">
            <w:pPr>
              <w:jc w:val="center"/>
              <w:rPr>
                <w:b/>
                <w:sz w:val="20"/>
              </w:rPr>
            </w:pPr>
            <w:r w:rsidRPr="000F093D">
              <w:rPr>
                <w:b/>
                <w:sz w:val="20"/>
              </w:rPr>
              <w:t>2010</w:t>
            </w:r>
          </w:p>
        </w:tc>
        <w:tc>
          <w:tcPr>
            <w:tcW w:w="1918" w:type="dxa"/>
            <w:gridSpan w:val="2"/>
            <w:tcBorders>
              <w:top w:val="single" w:sz="4" w:space="0" w:color="auto"/>
              <w:left w:val="single" w:sz="4" w:space="0" w:color="auto"/>
              <w:right w:val="single" w:sz="4" w:space="0" w:color="auto"/>
            </w:tcBorders>
          </w:tcPr>
          <w:p w:rsidR="007A2185" w:rsidRPr="000F093D" w:rsidRDefault="007A2185" w:rsidP="008657EA">
            <w:pPr>
              <w:jc w:val="center"/>
              <w:rPr>
                <w:b/>
                <w:sz w:val="20"/>
              </w:rPr>
            </w:pPr>
            <w:r w:rsidRPr="000F093D">
              <w:rPr>
                <w:b/>
                <w:sz w:val="20"/>
              </w:rPr>
              <w:t>2011</w:t>
            </w:r>
          </w:p>
        </w:tc>
      </w:tr>
      <w:tr w:rsidR="007A2185" w:rsidRPr="000F093D" w:rsidTr="008657EA">
        <w:trPr>
          <w:jc w:val="center"/>
        </w:trPr>
        <w:tc>
          <w:tcPr>
            <w:tcW w:w="5368" w:type="dxa"/>
            <w:tcBorders>
              <w:top w:val="single" w:sz="4" w:space="0" w:color="auto"/>
              <w:left w:val="single" w:sz="4" w:space="0" w:color="auto"/>
              <w:right w:val="single" w:sz="4" w:space="0" w:color="auto"/>
            </w:tcBorders>
          </w:tcPr>
          <w:p w:rsidR="007A2185" w:rsidRPr="000F093D" w:rsidRDefault="007A2185" w:rsidP="008657EA">
            <w:pPr>
              <w:jc w:val="left"/>
              <w:rPr>
                <w:b/>
                <w:sz w:val="20"/>
              </w:rPr>
            </w:pPr>
            <w:r w:rsidRPr="000F093D">
              <w:rPr>
                <w:b/>
                <w:sz w:val="20"/>
              </w:rPr>
              <w:t>Future employment related reasons</w:t>
            </w:r>
          </w:p>
        </w:tc>
        <w:tc>
          <w:tcPr>
            <w:tcW w:w="96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8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r>
      <w:tr w:rsidR="007A2185" w:rsidRPr="000F093D" w:rsidTr="008657EA">
        <w:trPr>
          <w:jc w:val="center"/>
        </w:trPr>
        <w:tc>
          <w:tcPr>
            <w:tcW w:w="5368" w:type="dxa"/>
            <w:tcBorders>
              <w:left w:val="single" w:sz="4" w:space="0" w:color="auto"/>
              <w:right w:val="single" w:sz="4" w:space="0" w:color="auto"/>
            </w:tcBorders>
          </w:tcPr>
          <w:p w:rsidR="007A2185" w:rsidRPr="000F093D" w:rsidRDefault="007A2185" w:rsidP="007A2185">
            <w:pPr>
              <w:pStyle w:val="ListParagraph"/>
              <w:numPr>
                <w:ilvl w:val="0"/>
                <w:numId w:val="6"/>
              </w:numPr>
              <w:jc w:val="left"/>
              <w:rPr>
                <w:sz w:val="20"/>
              </w:rPr>
            </w:pPr>
            <w:r w:rsidRPr="000F093D">
              <w:rPr>
                <w:sz w:val="20"/>
              </w:rPr>
              <w:t>‘Good’ job/ better career prospects</w:t>
            </w:r>
          </w:p>
        </w:tc>
        <w:tc>
          <w:tcPr>
            <w:tcW w:w="96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34</w:t>
            </w:r>
          </w:p>
        </w:tc>
        <w:tc>
          <w:tcPr>
            <w:tcW w:w="98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(57.6%)</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42</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(51.9%)</w:t>
            </w:r>
          </w:p>
        </w:tc>
      </w:tr>
      <w:tr w:rsidR="007A2185" w:rsidRPr="000F093D" w:rsidTr="008657EA">
        <w:trPr>
          <w:jc w:val="center"/>
        </w:trPr>
        <w:tc>
          <w:tcPr>
            <w:tcW w:w="5368" w:type="dxa"/>
            <w:tcBorders>
              <w:left w:val="single" w:sz="4" w:space="0" w:color="auto"/>
              <w:right w:val="single" w:sz="4" w:space="0" w:color="auto"/>
            </w:tcBorders>
          </w:tcPr>
          <w:p w:rsidR="007A2185" w:rsidRPr="000F093D" w:rsidRDefault="007A2185" w:rsidP="007A2185">
            <w:pPr>
              <w:pStyle w:val="ListParagraph"/>
              <w:numPr>
                <w:ilvl w:val="0"/>
                <w:numId w:val="6"/>
              </w:numPr>
              <w:jc w:val="left"/>
              <w:rPr>
                <w:sz w:val="20"/>
              </w:rPr>
            </w:pPr>
            <w:r w:rsidRPr="000F093D">
              <w:rPr>
                <w:sz w:val="20"/>
              </w:rPr>
              <w:t>Ease of employment</w:t>
            </w:r>
          </w:p>
        </w:tc>
        <w:tc>
          <w:tcPr>
            <w:tcW w:w="96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5</w:t>
            </w:r>
          </w:p>
        </w:tc>
        <w:tc>
          <w:tcPr>
            <w:tcW w:w="98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(8.5%)</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2</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(2.5%)</w:t>
            </w:r>
          </w:p>
        </w:tc>
      </w:tr>
      <w:tr w:rsidR="007A2185" w:rsidRPr="000F093D" w:rsidTr="008657EA">
        <w:trPr>
          <w:jc w:val="center"/>
        </w:trPr>
        <w:tc>
          <w:tcPr>
            <w:tcW w:w="5368" w:type="dxa"/>
            <w:tcBorders>
              <w:left w:val="single" w:sz="4" w:space="0" w:color="auto"/>
              <w:right w:val="single" w:sz="4" w:space="0" w:color="auto"/>
            </w:tcBorders>
          </w:tcPr>
          <w:p w:rsidR="007A2185" w:rsidRPr="000F093D" w:rsidRDefault="007A2185" w:rsidP="007A2185">
            <w:pPr>
              <w:pStyle w:val="ListParagraph"/>
              <w:numPr>
                <w:ilvl w:val="0"/>
                <w:numId w:val="2"/>
              </w:numPr>
              <w:jc w:val="left"/>
              <w:rPr>
                <w:sz w:val="20"/>
              </w:rPr>
            </w:pPr>
            <w:r w:rsidRPr="000F093D">
              <w:rPr>
                <w:sz w:val="20"/>
              </w:rPr>
              <w:t>Good pay</w:t>
            </w:r>
          </w:p>
        </w:tc>
        <w:tc>
          <w:tcPr>
            <w:tcW w:w="96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2</w:t>
            </w:r>
          </w:p>
        </w:tc>
        <w:tc>
          <w:tcPr>
            <w:tcW w:w="98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(3.4%)</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6</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(7.4%)</w:t>
            </w:r>
          </w:p>
        </w:tc>
      </w:tr>
      <w:tr w:rsidR="007A2185" w:rsidRPr="000F093D" w:rsidTr="008657EA">
        <w:trPr>
          <w:jc w:val="center"/>
        </w:trPr>
        <w:tc>
          <w:tcPr>
            <w:tcW w:w="5368" w:type="dxa"/>
            <w:tcBorders>
              <w:left w:val="single" w:sz="4" w:space="0" w:color="auto"/>
              <w:bottom w:val="single" w:sz="4" w:space="0" w:color="auto"/>
              <w:right w:val="single" w:sz="4" w:space="0" w:color="auto"/>
            </w:tcBorders>
          </w:tcPr>
          <w:p w:rsidR="007A2185" w:rsidRPr="000F093D" w:rsidRDefault="007A2185" w:rsidP="007A2185">
            <w:pPr>
              <w:pStyle w:val="ListParagraph"/>
              <w:numPr>
                <w:ilvl w:val="0"/>
                <w:numId w:val="2"/>
              </w:numPr>
              <w:jc w:val="left"/>
              <w:rPr>
                <w:sz w:val="20"/>
              </w:rPr>
            </w:pPr>
            <w:r w:rsidRPr="000F093D">
              <w:rPr>
                <w:sz w:val="20"/>
              </w:rPr>
              <w:t>Specific career</w:t>
            </w:r>
          </w:p>
          <w:p w:rsidR="007A2185" w:rsidRPr="000F093D" w:rsidRDefault="007A2185" w:rsidP="007A2185">
            <w:pPr>
              <w:pStyle w:val="ListParagraph"/>
              <w:numPr>
                <w:ilvl w:val="0"/>
                <w:numId w:val="2"/>
              </w:numPr>
              <w:jc w:val="left"/>
              <w:rPr>
                <w:sz w:val="20"/>
              </w:rPr>
            </w:pPr>
            <w:r w:rsidRPr="000F093D">
              <w:rPr>
                <w:sz w:val="20"/>
              </w:rPr>
              <w:t>Job satisfaction</w:t>
            </w:r>
          </w:p>
          <w:p w:rsidR="007A2185" w:rsidRPr="000F093D" w:rsidRDefault="007A2185" w:rsidP="008657EA">
            <w:pPr>
              <w:pStyle w:val="ListParagraph"/>
              <w:jc w:val="left"/>
              <w:rPr>
                <w:sz w:val="20"/>
              </w:rPr>
            </w:pPr>
          </w:p>
          <w:p w:rsidR="007A2185" w:rsidRPr="000F093D" w:rsidRDefault="007A2185" w:rsidP="008657EA">
            <w:pPr>
              <w:jc w:val="left"/>
              <w:rPr>
                <w:b/>
                <w:sz w:val="20"/>
              </w:rPr>
            </w:pPr>
            <w:r w:rsidRPr="000F093D">
              <w:rPr>
                <w:b/>
                <w:sz w:val="20"/>
              </w:rPr>
              <w:t xml:space="preserve">                                                                                            Total</w:t>
            </w:r>
          </w:p>
        </w:tc>
        <w:tc>
          <w:tcPr>
            <w:tcW w:w="96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2</w:t>
            </w:r>
          </w:p>
          <w:p w:rsidR="007A2185" w:rsidRPr="000F093D" w:rsidRDefault="007A2185" w:rsidP="008657EA">
            <w:pPr>
              <w:jc w:val="center"/>
              <w:rPr>
                <w:sz w:val="20"/>
              </w:rPr>
            </w:pPr>
            <w:r w:rsidRPr="000F093D">
              <w:rPr>
                <w:sz w:val="20"/>
              </w:rPr>
              <w:t>0</w:t>
            </w:r>
          </w:p>
          <w:p w:rsidR="007A2185" w:rsidRPr="000F093D" w:rsidRDefault="007A2185" w:rsidP="008657EA">
            <w:pPr>
              <w:jc w:val="center"/>
              <w:rPr>
                <w:sz w:val="20"/>
              </w:rPr>
            </w:pPr>
          </w:p>
          <w:p w:rsidR="007A2185" w:rsidRPr="000F093D" w:rsidRDefault="007A2185" w:rsidP="008657EA">
            <w:pPr>
              <w:jc w:val="center"/>
              <w:rPr>
                <w:b/>
                <w:sz w:val="20"/>
              </w:rPr>
            </w:pPr>
          </w:p>
        </w:tc>
        <w:tc>
          <w:tcPr>
            <w:tcW w:w="98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(3.4%)</w:t>
            </w:r>
          </w:p>
          <w:p w:rsidR="007A2185" w:rsidRPr="000F093D" w:rsidRDefault="007A2185" w:rsidP="008657EA">
            <w:pPr>
              <w:jc w:val="center"/>
              <w:rPr>
                <w:sz w:val="20"/>
              </w:rPr>
            </w:pPr>
            <w:r w:rsidRPr="000F093D">
              <w:rPr>
                <w:sz w:val="20"/>
              </w:rPr>
              <w:t>(0.0%)</w:t>
            </w: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72.9%</w:t>
            </w: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1</w:t>
            </w:r>
          </w:p>
          <w:p w:rsidR="007A2185" w:rsidRPr="000F093D" w:rsidRDefault="007A2185" w:rsidP="008657EA">
            <w:pPr>
              <w:jc w:val="center"/>
              <w:rPr>
                <w:sz w:val="20"/>
              </w:rPr>
            </w:pPr>
            <w:r w:rsidRPr="000F093D">
              <w:rPr>
                <w:sz w:val="20"/>
              </w:rPr>
              <w:t>0</w:t>
            </w:r>
          </w:p>
          <w:p w:rsidR="007A2185" w:rsidRPr="000F093D" w:rsidRDefault="007A2185" w:rsidP="008657EA">
            <w:pPr>
              <w:jc w:val="center"/>
              <w:rPr>
                <w:sz w:val="20"/>
              </w:rPr>
            </w:pPr>
          </w:p>
          <w:p w:rsidR="007A2185" w:rsidRPr="000F093D" w:rsidRDefault="007A2185" w:rsidP="008657EA">
            <w:pPr>
              <w:jc w:val="center"/>
              <w:rPr>
                <w:b/>
                <w:sz w:val="20"/>
              </w:rPr>
            </w:pP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(1.2%)</w:t>
            </w:r>
          </w:p>
          <w:p w:rsidR="007A2185" w:rsidRPr="000F093D" w:rsidRDefault="007A2185" w:rsidP="008657EA">
            <w:pPr>
              <w:jc w:val="center"/>
              <w:rPr>
                <w:sz w:val="20"/>
              </w:rPr>
            </w:pPr>
            <w:r w:rsidRPr="000F093D">
              <w:rPr>
                <w:sz w:val="20"/>
              </w:rPr>
              <w:t>(0.0%)</w:t>
            </w: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63.0%</w:t>
            </w:r>
          </w:p>
        </w:tc>
      </w:tr>
      <w:tr w:rsidR="007A2185" w:rsidRPr="000F093D" w:rsidTr="008657EA">
        <w:trPr>
          <w:jc w:val="center"/>
        </w:trPr>
        <w:tc>
          <w:tcPr>
            <w:tcW w:w="5368" w:type="dxa"/>
            <w:tcBorders>
              <w:top w:val="single" w:sz="4" w:space="0" w:color="auto"/>
              <w:left w:val="single" w:sz="4" w:space="0" w:color="auto"/>
              <w:right w:val="single" w:sz="4" w:space="0" w:color="auto"/>
            </w:tcBorders>
          </w:tcPr>
          <w:p w:rsidR="007A2185" w:rsidRPr="000F093D" w:rsidRDefault="007A2185" w:rsidP="008657EA">
            <w:pPr>
              <w:jc w:val="left"/>
              <w:rPr>
                <w:b/>
                <w:sz w:val="20"/>
              </w:rPr>
            </w:pPr>
            <w:r w:rsidRPr="000F093D">
              <w:rPr>
                <w:b/>
                <w:sz w:val="20"/>
              </w:rPr>
              <w:t>Education and/or career related</w:t>
            </w:r>
          </w:p>
        </w:tc>
        <w:tc>
          <w:tcPr>
            <w:tcW w:w="96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8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r>
      <w:tr w:rsidR="007A2185" w:rsidRPr="000F093D" w:rsidTr="008657EA">
        <w:trPr>
          <w:jc w:val="center"/>
        </w:trPr>
        <w:tc>
          <w:tcPr>
            <w:tcW w:w="5368" w:type="dxa"/>
            <w:tcBorders>
              <w:left w:val="single" w:sz="4" w:space="0" w:color="auto"/>
              <w:right w:val="single" w:sz="4" w:space="0" w:color="auto"/>
            </w:tcBorders>
          </w:tcPr>
          <w:p w:rsidR="007A2185" w:rsidRPr="000F093D" w:rsidRDefault="007A2185" w:rsidP="007A2185">
            <w:pPr>
              <w:pStyle w:val="ListParagraph"/>
              <w:numPr>
                <w:ilvl w:val="0"/>
                <w:numId w:val="3"/>
              </w:numPr>
              <w:rPr>
                <w:sz w:val="20"/>
              </w:rPr>
            </w:pPr>
            <w:r w:rsidRPr="000F093D">
              <w:rPr>
                <w:sz w:val="20"/>
              </w:rPr>
              <w:t>Continue education</w:t>
            </w:r>
          </w:p>
        </w:tc>
        <w:tc>
          <w:tcPr>
            <w:tcW w:w="96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10</w:t>
            </w:r>
          </w:p>
        </w:tc>
        <w:tc>
          <w:tcPr>
            <w:tcW w:w="98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(17.0%)</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18</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(22.2%)</w:t>
            </w:r>
          </w:p>
        </w:tc>
      </w:tr>
      <w:tr w:rsidR="007A2185" w:rsidRPr="000F093D" w:rsidTr="008657EA">
        <w:trPr>
          <w:jc w:val="center"/>
        </w:trPr>
        <w:tc>
          <w:tcPr>
            <w:tcW w:w="5368" w:type="dxa"/>
            <w:tcBorders>
              <w:left w:val="single" w:sz="4" w:space="0" w:color="auto"/>
              <w:bottom w:val="single" w:sz="4" w:space="0" w:color="auto"/>
              <w:right w:val="single" w:sz="4" w:space="0" w:color="auto"/>
            </w:tcBorders>
          </w:tcPr>
          <w:p w:rsidR="007A2185" w:rsidRPr="000F093D" w:rsidRDefault="007A2185" w:rsidP="007A2185">
            <w:pPr>
              <w:pStyle w:val="ListParagraph"/>
              <w:numPr>
                <w:ilvl w:val="0"/>
                <w:numId w:val="3"/>
              </w:numPr>
              <w:jc w:val="left"/>
              <w:rPr>
                <w:sz w:val="20"/>
              </w:rPr>
            </w:pPr>
            <w:r w:rsidRPr="000F093D">
              <w:rPr>
                <w:sz w:val="20"/>
              </w:rPr>
              <w:t>To gain qualifications</w:t>
            </w:r>
          </w:p>
          <w:p w:rsidR="007A2185" w:rsidRPr="000F093D" w:rsidRDefault="007A2185" w:rsidP="008657EA">
            <w:pPr>
              <w:pStyle w:val="ListParagraph"/>
              <w:jc w:val="left"/>
              <w:rPr>
                <w:sz w:val="20"/>
              </w:rPr>
            </w:pPr>
          </w:p>
          <w:p w:rsidR="007A2185" w:rsidRPr="000F093D" w:rsidRDefault="007A2185" w:rsidP="008657EA">
            <w:pPr>
              <w:pStyle w:val="ListParagraph"/>
              <w:jc w:val="left"/>
              <w:rPr>
                <w:b/>
                <w:sz w:val="20"/>
              </w:rPr>
            </w:pPr>
            <w:r w:rsidRPr="000F093D">
              <w:rPr>
                <w:b/>
                <w:sz w:val="20"/>
              </w:rPr>
              <w:t xml:space="preserve">                                                                             Total</w:t>
            </w:r>
          </w:p>
        </w:tc>
        <w:tc>
          <w:tcPr>
            <w:tcW w:w="96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4</w:t>
            </w:r>
          </w:p>
          <w:p w:rsidR="007A2185" w:rsidRPr="000F093D" w:rsidRDefault="007A2185" w:rsidP="008657EA">
            <w:pPr>
              <w:rPr>
                <w:sz w:val="20"/>
              </w:rPr>
            </w:pPr>
          </w:p>
          <w:p w:rsidR="007A2185" w:rsidRPr="000F093D" w:rsidRDefault="007A2185" w:rsidP="008657EA">
            <w:pPr>
              <w:jc w:val="center"/>
              <w:rPr>
                <w:b/>
                <w:sz w:val="20"/>
              </w:rPr>
            </w:pPr>
          </w:p>
        </w:tc>
        <w:tc>
          <w:tcPr>
            <w:tcW w:w="98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(6.8%)</w:t>
            </w: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23.8%</w:t>
            </w: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15</w:t>
            </w:r>
          </w:p>
          <w:p w:rsidR="007A2185" w:rsidRPr="000F093D" w:rsidRDefault="007A2185" w:rsidP="008657EA">
            <w:pPr>
              <w:jc w:val="center"/>
              <w:rPr>
                <w:sz w:val="20"/>
              </w:rPr>
            </w:pPr>
          </w:p>
          <w:p w:rsidR="007A2185" w:rsidRPr="000F093D" w:rsidRDefault="007A2185" w:rsidP="008657EA">
            <w:pPr>
              <w:jc w:val="center"/>
              <w:rPr>
                <w:b/>
                <w:sz w:val="20"/>
              </w:rPr>
            </w:pP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(18.5%)</w:t>
            </w: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40.7%</w:t>
            </w:r>
          </w:p>
        </w:tc>
      </w:tr>
      <w:tr w:rsidR="007A2185" w:rsidRPr="000F093D" w:rsidTr="008657EA">
        <w:trPr>
          <w:jc w:val="center"/>
        </w:trPr>
        <w:tc>
          <w:tcPr>
            <w:tcW w:w="5368" w:type="dxa"/>
            <w:tcBorders>
              <w:top w:val="single" w:sz="4" w:space="0" w:color="auto"/>
              <w:left w:val="single" w:sz="4" w:space="0" w:color="auto"/>
              <w:right w:val="single" w:sz="4" w:space="0" w:color="auto"/>
            </w:tcBorders>
          </w:tcPr>
          <w:p w:rsidR="007A2185" w:rsidRPr="000F093D" w:rsidRDefault="007A2185" w:rsidP="008657EA">
            <w:pPr>
              <w:rPr>
                <w:b/>
                <w:sz w:val="20"/>
              </w:rPr>
            </w:pPr>
            <w:r w:rsidRPr="000F093D">
              <w:rPr>
                <w:b/>
                <w:sz w:val="20"/>
              </w:rPr>
              <w:t>Subject related</w:t>
            </w:r>
          </w:p>
        </w:tc>
        <w:tc>
          <w:tcPr>
            <w:tcW w:w="96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8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r>
      <w:tr w:rsidR="007A2185" w:rsidRPr="000F093D" w:rsidTr="008657EA">
        <w:trPr>
          <w:jc w:val="center"/>
        </w:trPr>
        <w:tc>
          <w:tcPr>
            <w:tcW w:w="5368" w:type="dxa"/>
            <w:tcBorders>
              <w:left w:val="single" w:sz="4" w:space="0" w:color="auto"/>
              <w:right w:val="single" w:sz="4" w:space="0" w:color="auto"/>
            </w:tcBorders>
          </w:tcPr>
          <w:p w:rsidR="007A2185" w:rsidRPr="000F093D" w:rsidRDefault="007A2185" w:rsidP="007A2185">
            <w:pPr>
              <w:pStyle w:val="ListParagraph"/>
              <w:numPr>
                <w:ilvl w:val="0"/>
                <w:numId w:val="3"/>
              </w:numPr>
              <w:jc w:val="left"/>
              <w:rPr>
                <w:sz w:val="20"/>
              </w:rPr>
            </w:pPr>
            <w:r w:rsidRPr="000F093D">
              <w:rPr>
                <w:sz w:val="20"/>
              </w:rPr>
              <w:t>To learn more maths</w:t>
            </w:r>
            <w:r w:rsidRPr="000F093D">
              <w:rPr>
                <w:sz w:val="20"/>
              </w:rPr>
              <w:tab/>
            </w:r>
          </w:p>
        </w:tc>
        <w:tc>
          <w:tcPr>
            <w:tcW w:w="96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9</w:t>
            </w:r>
          </w:p>
        </w:tc>
        <w:tc>
          <w:tcPr>
            <w:tcW w:w="98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(15.3%)</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10</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(12.3%)</w:t>
            </w:r>
          </w:p>
        </w:tc>
      </w:tr>
      <w:tr w:rsidR="007A2185" w:rsidRPr="000F093D" w:rsidTr="008657EA">
        <w:trPr>
          <w:jc w:val="center"/>
        </w:trPr>
        <w:tc>
          <w:tcPr>
            <w:tcW w:w="5368" w:type="dxa"/>
            <w:tcBorders>
              <w:left w:val="single" w:sz="4" w:space="0" w:color="auto"/>
              <w:bottom w:val="single" w:sz="4" w:space="0" w:color="auto"/>
              <w:right w:val="single" w:sz="4" w:space="0" w:color="auto"/>
            </w:tcBorders>
          </w:tcPr>
          <w:p w:rsidR="007A2185" w:rsidRPr="000F093D" w:rsidRDefault="007A2185" w:rsidP="007A2185">
            <w:pPr>
              <w:pStyle w:val="ListParagraph"/>
              <w:numPr>
                <w:ilvl w:val="0"/>
                <w:numId w:val="4"/>
              </w:numPr>
              <w:rPr>
                <w:sz w:val="20"/>
              </w:rPr>
            </w:pPr>
            <w:r w:rsidRPr="000F093D">
              <w:rPr>
                <w:sz w:val="20"/>
              </w:rPr>
              <w:t>Enjoyment of maths</w:t>
            </w:r>
          </w:p>
          <w:p w:rsidR="007A2185" w:rsidRPr="000F093D" w:rsidRDefault="007A2185" w:rsidP="008657EA">
            <w:pPr>
              <w:rPr>
                <w:sz w:val="20"/>
              </w:rPr>
            </w:pPr>
          </w:p>
          <w:p w:rsidR="007A2185" w:rsidRPr="000F093D" w:rsidRDefault="007A2185" w:rsidP="008657EA">
            <w:pPr>
              <w:rPr>
                <w:b/>
                <w:sz w:val="20"/>
              </w:rPr>
            </w:pPr>
            <w:r w:rsidRPr="000F093D">
              <w:rPr>
                <w:sz w:val="20"/>
              </w:rPr>
              <w:t xml:space="preserve">                                               </w:t>
            </w:r>
            <w:r w:rsidRPr="000F093D">
              <w:rPr>
                <w:b/>
                <w:sz w:val="20"/>
              </w:rPr>
              <w:t xml:space="preserve">                                           Total</w:t>
            </w:r>
          </w:p>
        </w:tc>
        <w:tc>
          <w:tcPr>
            <w:tcW w:w="96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3</w:t>
            </w:r>
          </w:p>
          <w:p w:rsidR="007A2185" w:rsidRPr="000F093D" w:rsidRDefault="007A2185" w:rsidP="008657EA">
            <w:pPr>
              <w:jc w:val="center"/>
              <w:rPr>
                <w:sz w:val="20"/>
              </w:rPr>
            </w:pPr>
          </w:p>
          <w:p w:rsidR="007A2185" w:rsidRPr="000F093D" w:rsidRDefault="007A2185" w:rsidP="008657EA">
            <w:pPr>
              <w:jc w:val="center"/>
              <w:rPr>
                <w:sz w:val="20"/>
              </w:rPr>
            </w:pPr>
          </w:p>
        </w:tc>
        <w:tc>
          <w:tcPr>
            <w:tcW w:w="98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(5.1%)</w:t>
            </w: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20.4%</w:t>
            </w: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6</w:t>
            </w:r>
          </w:p>
          <w:p w:rsidR="007A2185" w:rsidRPr="000F093D" w:rsidRDefault="007A2185" w:rsidP="008657EA">
            <w:pPr>
              <w:jc w:val="center"/>
              <w:rPr>
                <w:sz w:val="20"/>
              </w:rPr>
            </w:pPr>
          </w:p>
          <w:p w:rsidR="007A2185" w:rsidRPr="000F093D" w:rsidRDefault="007A2185" w:rsidP="008657EA">
            <w:pPr>
              <w:jc w:val="center"/>
              <w:rPr>
                <w:sz w:val="20"/>
              </w:rPr>
            </w:pP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(7.4%)</w:t>
            </w: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19.7%</w:t>
            </w:r>
          </w:p>
        </w:tc>
      </w:tr>
      <w:tr w:rsidR="007A2185" w:rsidRPr="000F093D" w:rsidTr="008657EA">
        <w:trPr>
          <w:jc w:val="center"/>
        </w:trPr>
        <w:tc>
          <w:tcPr>
            <w:tcW w:w="5368" w:type="dxa"/>
            <w:tcBorders>
              <w:top w:val="single" w:sz="4" w:space="0" w:color="auto"/>
              <w:left w:val="single" w:sz="4" w:space="0" w:color="auto"/>
              <w:right w:val="single" w:sz="4" w:space="0" w:color="auto"/>
            </w:tcBorders>
          </w:tcPr>
          <w:p w:rsidR="007A2185" w:rsidRPr="000F093D" w:rsidRDefault="007A2185" w:rsidP="008657EA">
            <w:pPr>
              <w:rPr>
                <w:b/>
                <w:sz w:val="20"/>
              </w:rPr>
            </w:pPr>
            <w:r w:rsidRPr="000F093D">
              <w:rPr>
                <w:b/>
                <w:sz w:val="20"/>
              </w:rPr>
              <w:t>Other</w:t>
            </w:r>
          </w:p>
        </w:tc>
        <w:tc>
          <w:tcPr>
            <w:tcW w:w="96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88"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c>
          <w:tcPr>
            <w:tcW w:w="959" w:type="dxa"/>
            <w:tcBorders>
              <w:top w:val="single" w:sz="4" w:space="0" w:color="auto"/>
              <w:left w:val="single" w:sz="4" w:space="0" w:color="auto"/>
              <w:right w:val="single" w:sz="4" w:space="0" w:color="auto"/>
            </w:tcBorders>
          </w:tcPr>
          <w:p w:rsidR="007A2185" w:rsidRPr="000F093D" w:rsidRDefault="007A2185" w:rsidP="008657EA">
            <w:pPr>
              <w:jc w:val="center"/>
              <w:rPr>
                <w:b/>
                <w:sz w:val="20"/>
              </w:rPr>
            </w:pPr>
          </w:p>
        </w:tc>
      </w:tr>
      <w:tr w:rsidR="007A2185" w:rsidRPr="000F093D" w:rsidTr="008657EA">
        <w:trPr>
          <w:jc w:val="center"/>
        </w:trPr>
        <w:tc>
          <w:tcPr>
            <w:tcW w:w="5368" w:type="dxa"/>
            <w:tcBorders>
              <w:left w:val="single" w:sz="4" w:space="0" w:color="auto"/>
              <w:right w:val="single" w:sz="4" w:space="0" w:color="auto"/>
            </w:tcBorders>
          </w:tcPr>
          <w:p w:rsidR="007A2185" w:rsidRPr="000F093D" w:rsidRDefault="007A2185" w:rsidP="007A2185">
            <w:pPr>
              <w:pStyle w:val="ListParagraph"/>
              <w:numPr>
                <w:ilvl w:val="0"/>
                <w:numId w:val="4"/>
              </w:numPr>
              <w:jc w:val="left"/>
              <w:rPr>
                <w:sz w:val="20"/>
              </w:rPr>
            </w:pPr>
            <w:r w:rsidRPr="000F093D">
              <w:rPr>
                <w:sz w:val="20"/>
              </w:rPr>
              <w:t>The ‘experience’</w:t>
            </w:r>
          </w:p>
        </w:tc>
        <w:tc>
          <w:tcPr>
            <w:tcW w:w="96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5</w:t>
            </w:r>
          </w:p>
        </w:tc>
        <w:tc>
          <w:tcPr>
            <w:tcW w:w="988"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(8.5%)</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2</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(2.5%)</w:t>
            </w:r>
          </w:p>
        </w:tc>
      </w:tr>
      <w:tr w:rsidR="007A2185" w:rsidRPr="000F093D" w:rsidTr="008657EA">
        <w:trPr>
          <w:jc w:val="center"/>
        </w:trPr>
        <w:tc>
          <w:tcPr>
            <w:tcW w:w="5368" w:type="dxa"/>
            <w:tcBorders>
              <w:left w:val="single" w:sz="4" w:space="0" w:color="auto"/>
              <w:right w:val="single" w:sz="4" w:space="0" w:color="auto"/>
            </w:tcBorders>
          </w:tcPr>
          <w:p w:rsidR="007A2185" w:rsidRPr="000F093D" w:rsidRDefault="007A2185" w:rsidP="007A2185">
            <w:pPr>
              <w:pStyle w:val="ListParagraph"/>
              <w:numPr>
                <w:ilvl w:val="0"/>
                <w:numId w:val="5"/>
              </w:numPr>
              <w:rPr>
                <w:sz w:val="20"/>
              </w:rPr>
            </w:pPr>
            <w:r w:rsidRPr="000F093D">
              <w:rPr>
                <w:sz w:val="20"/>
              </w:rPr>
              <w:t>Delaying tactic</w:t>
            </w:r>
          </w:p>
        </w:tc>
        <w:tc>
          <w:tcPr>
            <w:tcW w:w="968" w:type="dxa"/>
            <w:tcBorders>
              <w:left w:val="single" w:sz="4" w:space="0" w:color="auto"/>
              <w:right w:val="single" w:sz="4" w:space="0" w:color="auto"/>
            </w:tcBorders>
          </w:tcPr>
          <w:p w:rsidR="007A2185" w:rsidRPr="000F093D" w:rsidRDefault="007A2185" w:rsidP="008657EA">
            <w:pPr>
              <w:jc w:val="center"/>
              <w:rPr>
                <w:sz w:val="20"/>
              </w:rPr>
            </w:pPr>
          </w:p>
        </w:tc>
        <w:tc>
          <w:tcPr>
            <w:tcW w:w="988" w:type="dxa"/>
            <w:tcBorders>
              <w:left w:val="single" w:sz="4" w:space="0" w:color="auto"/>
              <w:right w:val="single" w:sz="4" w:space="0" w:color="auto"/>
            </w:tcBorders>
          </w:tcPr>
          <w:p w:rsidR="007A2185" w:rsidRPr="000F093D" w:rsidRDefault="007A2185" w:rsidP="008657EA">
            <w:pPr>
              <w:jc w:val="center"/>
              <w:rPr>
                <w:sz w:val="20"/>
              </w:rPr>
            </w:pP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w:t>
            </w:r>
          </w:p>
        </w:tc>
        <w:tc>
          <w:tcPr>
            <w:tcW w:w="959" w:type="dxa"/>
            <w:tcBorders>
              <w:left w:val="single" w:sz="4" w:space="0" w:color="auto"/>
              <w:right w:val="single" w:sz="4" w:space="0" w:color="auto"/>
            </w:tcBorders>
          </w:tcPr>
          <w:p w:rsidR="007A2185" w:rsidRPr="000F093D" w:rsidRDefault="007A2185" w:rsidP="008657EA">
            <w:pPr>
              <w:jc w:val="center"/>
              <w:rPr>
                <w:sz w:val="20"/>
              </w:rPr>
            </w:pPr>
            <w:r w:rsidRPr="000F093D">
              <w:rPr>
                <w:sz w:val="20"/>
              </w:rPr>
              <w:t>(1.2%)</w:t>
            </w:r>
          </w:p>
        </w:tc>
      </w:tr>
      <w:tr w:rsidR="007A2185" w:rsidRPr="000F093D" w:rsidTr="008657EA">
        <w:trPr>
          <w:jc w:val="center"/>
        </w:trPr>
        <w:tc>
          <w:tcPr>
            <w:tcW w:w="5368" w:type="dxa"/>
            <w:tcBorders>
              <w:left w:val="single" w:sz="4" w:space="0" w:color="auto"/>
              <w:bottom w:val="single" w:sz="4" w:space="0" w:color="auto"/>
              <w:right w:val="single" w:sz="4" w:space="0" w:color="auto"/>
            </w:tcBorders>
          </w:tcPr>
          <w:p w:rsidR="007A2185" w:rsidRPr="000F093D" w:rsidRDefault="007A2185" w:rsidP="007A2185">
            <w:pPr>
              <w:pStyle w:val="ListParagraph"/>
              <w:numPr>
                <w:ilvl w:val="0"/>
                <w:numId w:val="5"/>
              </w:numPr>
              <w:rPr>
                <w:sz w:val="20"/>
              </w:rPr>
            </w:pPr>
            <w:r w:rsidRPr="000F093D">
              <w:rPr>
                <w:sz w:val="20"/>
              </w:rPr>
              <w:t>Miscellaneous (e.g. meet new people, becoming more independent, university location and reputation, gain new skills)</w:t>
            </w:r>
          </w:p>
          <w:p w:rsidR="007A2185" w:rsidRPr="000F093D" w:rsidRDefault="007A2185" w:rsidP="008657EA">
            <w:pPr>
              <w:rPr>
                <w:sz w:val="20"/>
              </w:rPr>
            </w:pPr>
          </w:p>
          <w:p w:rsidR="007A2185" w:rsidRPr="000F093D" w:rsidRDefault="007A2185" w:rsidP="008657EA">
            <w:pPr>
              <w:rPr>
                <w:b/>
                <w:sz w:val="20"/>
              </w:rPr>
            </w:pPr>
            <w:r w:rsidRPr="000F093D">
              <w:rPr>
                <w:b/>
                <w:sz w:val="20"/>
              </w:rPr>
              <w:t xml:space="preserve">                                                                                          Total</w:t>
            </w:r>
          </w:p>
        </w:tc>
        <w:tc>
          <w:tcPr>
            <w:tcW w:w="96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6</w:t>
            </w:r>
          </w:p>
        </w:tc>
        <w:tc>
          <w:tcPr>
            <w:tcW w:w="988"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(10.1%)</w:t>
            </w:r>
          </w:p>
          <w:p w:rsidR="007A2185" w:rsidRPr="000F093D" w:rsidRDefault="007A2185" w:rsidP="008657EA">
            <w:pPr>
              <w:jc w:val="center"/>
              <w:rPr>
                <w:sz w:val="20"/>
              </w:rPr>
            </w:pPr>
          </w:p>
          <w:p w:rsidR="007A2185" w:rsidRPr="000F093D" w:rsidRDefault="007A2185" w:rsidP="008657EA">
            <w:pPr>
              <w:jc w:val="center"/>
              <w:rPr>
                <w:sz w:val="20"/>
              </w:rPr>
            </w:pP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18.6%</w:t>
            </w: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7</w:t>
            </w:r>
          </w:p>
        </w:tc>
        <w:tc>
          <w:tcPr>
            <w:tcW w:w="959" w:type="dxa"/>
            <w:tcBorders>
              <w:left w:val="single" w:sz="4" w:space="0" w:color="auto"/>
              <w:bottom w:val="single" w:sz="4" w:space="0" w:color="auto"/>
              <w:right w:val="single" w:sz="4" w:space="0" w:color="auto"/>
            </w:tcBorders>
          </w:tcPr>
          <w:p w:rsidR="007A2185" w:rsidRPr="000F093D" w:rsidRDefault="007A2185" w:rsidP="008657EA">
            <w:pPr>
              <w:jc w:val="center"/>
              <w:rPr>
                <w:sz w:val="20"/>
              </w:rPr>
            </w:pPr>
            <w:r w:rsidRPr="000F093D">
              <w:rPr>
                <w:sz w:val="20"/>
              </w:rPr>
              <w:t>(8.6%)</w:t>
            </w:r>
          </w:p>
          <w:p w:rsidR="007A2185" w:rsidRPr="000F093D" w:rsidRDefault="007A2185" w:rsidP="008657EA">
            <w:pPr>
              <w:jc w:val="center"/>
              <w:rPr>
                <w:sz w:val="20"/>
              </w:rPr>
            </w:pPr>
          </w:p>
          <w:p w:rsidR="007A2185" w:rsidRPr="000F093D" w:rsidRDefault="007A2185" w:rsidP="008657EA">
            <w:pPr>
              <w:jc w:val="center"/>
              <w:rPr>
                <w:sz w:val="20"/>
              </w:rPr>
            </w:pPr>
          </w:p>
          <w:p w:rsidR="007A2185" w:rsidRPr="000F093D" w:rsidRDefault="007A2185" w:rsidP="008657EA">
            <w:pPr>
              <w:jc w:val="center"/>
              <w:rPr>
                <w:sz w:val="20"/>
              </w:rPr>
            </w:pPr>
          </w:p>
          <w:p w:rsidR="007A2185" w:rsidRPr="000F093D" w:rsidRDefault="007A2185" w:rsidP="008657EA">
            <w:pPr>
              <w:jc w:val="center"/>
              <w:rPr>
                <w:b/>
                <w:sz w:val="20"/>
              </w:rPr>
            </w:pPr>
            <w:r w:rsidRPr="000F093D">
              <w:rPr>
                <w:b/>
                <w:sz w:val="20"/>
              </w:rPr>
              <w:t>12.3%</w:t>
            </w:r>
          </w:p>
        </w:tc>
      </w:tr>
    </w:tbl>
    <w:p w:rsidR="007A2185" w:rsidRDefault="007A2185" w:rsidP="00984EB2">
      <w:pPr>
        <w:rPr>
          <w:i/>
          <w:sz w:val="20"/>
          <w:szCs w:val="20"/>
        </w:rPr>
      </w:pPr>
      <w:bookmarkStart w:id="3" w:name="_Ref307818627"/>
      <w:bookmarkStart w:id="4" w:name="_Ref307818639"/>
      <w:r w:rsidRPr="00C93D4C">
        <w:rPr>
          <w:b/>
          <w:color w:val="0070C0"/>
          <w:sz w:val="18"/>
          <w:szCs w:val="18"/>
        </w:rPr>
        <w:t xml:space="preserve">Table </w:t>
      </w:r>
      <w:r w:rsidR="00A01C54" w:rsidRPr="00C93D4C">
        <w:rPr>
          <w:b/>
          <w:color w:val="0070C0"/>
          <w:sz w:val="18"/>
          <w:szCs w:val="18"/>
        </w:rPr>
        <w:fldChar w:fldCharType="begin"/>
      </w:r>
      <w:r w:rsidRPr="00C93D4C">
        <w:rPr>
          <w:b/>
          <w:color w:val="0070C0"/>
          <w:sz w:val="18"/>
          <w:szCs w:val="18"/>
        </w:rPr>
        <w:instrText xml:space="preserve"> SEQ Table \* ARABIC </w:instrText>
      </w:r>
      <w:r w:rsidR="00A01C54" w:rsidRPr="00C93D4C">
        <w:rPr>
          <w:b/>
          <w:color w:val="0070C0"/>
          <w:sz w:val="18"/>
          <w:szCs w:val="18"/>
        </w:rPr>
        <w:fldChar w:fldCharType="separate"/>
      </w:r>
      <w:r w:rsidRPr="00C93D4C">
        <w:rPr>
          <w:b/>
          <w:color w:val="0070C0"/>
          <w:sz w:val="18"/>
          <w:szCs w:val="18"/>
        </w:rPr>
        <w:t>1</w:t>
      </w:r>
      <w:r w:rsidR="00A01C54" w:rsidRPr="00C93D4C">
        <w:rPr>
          <w:b/>
          <w:color w:val="0070C0"/>
          <w:sz w:val="18"/>
          <w:szCs w:val="18"/>
        </w:rPr>
        <w:fldChar w:fldCharType="end"/>
      </w:r>
      <w:bookmarkEnd w:id="3"/>
      <w:r w:rsidRPr="007A2185">
        <w:t xml:space="preserve"> </w:t>
      </w:r>
      <w:r w:rsidR="00564F67" w:rsidRPr="00DE7E50">
        <w:rPr>
          <w:i/>
          <w:sz w:val="20"/>
          <w:szCs w:val="20"/>
        </w:rPr>
        <w:t>Categorised responses of single-honours first-year mathematicians at Exeter to the question</w:t>
      </w:r>
      <w:r w:rsidR="00564F67" w:rsidRPr="00DE7E50">
        <w:rPr>
          <w:sz w:val="20"/>
          <w:szCs w:val="20"/>
        </w:rPr>
        <w:t xml:space="preserve"> “What is the most important reason for your deciding to go to university?”</w:t>
      </w:r>
      <w:r w:rsidRPr="00DE7E50">
        <w:rPr>
          <w:i/>
          <w:sz w:val="20"/>
          <w:szCs w:val="20"/>
        </w:rPr>
        <w:t xml:space="preserve"> and the proportion of students who cited this category as a percentage of the total number of respondents (59 for 2010, 81 for 2011)</w:t>
      </w:r>
      <w:bookmarkEnd w:id="4"/>
      <w:r w:rsidR="00564F67" w:rsidRPr="00DE7E50">
        <w:rPr>
          <w:i/>
          <w:sz w:val="20"/>
          <w:szCs w:val="20"/>
        </w:rPr>
        <w:t>.</w:t>
      </w:r>
    </w:p>
    <w:p w:rsidR="00E05869" w:rsidRDefault="00CC10D9" w:rsidP="00984EB2">
      <w:r>
        <w:lastRenderedPageBreak/>
        <w:t>In order that degrees meet the needs of their students, universities and students are increa</w:t>
      </w:r>
      <w:r w:rsidR="00122E4A">
        <w:t>singly working together to design</w:t>
      </w:r>
      <w:r>
        <w:t xml:space="preserve"> the curriculum.</w:t>
      </w:r>
      <w:r w:rsidR="00122E4A">
        <w:t xml:space="preserve">  Some examples of student engagement in curriculum design are:</w:t>
      </w:r>
    </w:p>
    <w:p w:rsidR="00122E4A" w:rsidRPr="00D55536" w:rsidRDefault="00122E4A" w:rsidP="00122E4A">
      <w:pPr>
        <w:pStyle w:val="ListParagraph"/>
        <w:numPr>
          <w:ilvl w:val="0"/>
          <w:numId w:val="5"/>
        </w:numPr>
      </w:pPr>
      <w:r>
        <w:rPr>
          <w:i/>
        </w:rPr>
        <w:t>Students as Change Agents</w:t>
      </w:r>
      <w:r w:rsidR="00BA537D">
        <w:rPr>
          <w:i/>
        </w:rPr>
        <w:t xml:space="preserve"> (</w:t>
      </w:r>
      <w:hyperlink r:id="rId10" w:history="1">
        <w:r w:rsidR="00D55536" w:rsidRPr="002F17AD">
          <w:rPr>
            <w:rStyle w:val="Hyperlink"/>
            <w:i/>
          </w:rPr>
          <w:t>http://as.exeter.ac.uk/support/educationenhancementprojects/current_projects/change/</w:t>
        </w:r>
      </w:hyperlink>
      <w:r w:rsidR="00BA537D">
        <w:rPr>
          <w:i/>
        </w:rPr>
        <w:t>)</w:t>
      </w:r>
    </w:p>
    <w:p w:rsidR="00122E4A" w:rsidRDefault="00122E4A" w:rsidP="00122E4A">
      <w:pPr>
        <w:pStyle w:val="ListParagraph"/>
      </w:pPr>
      <w:r>
        <w:t xml:space="preserve">This initiative at the University of Exeter gives students the opportunity to work with staff to effect changes in the curriculum.  The biggest of these projects has been the ‘Integrate’ project </w:t>
      </w:r>
      <w:r w:rsidR="00AF7B4E">
        <w:t>(</w:t>
      </w:r>
      <w:hyperlink r:id="rId11" w:history="1">
        <w:r w:rsidR="00AF7B4E" w:rsidRPr="002F17AD">
          <w:rPr>
            <w:rStyle w:val="Hyperlink"/>
          </w:rPr>
          <w:t>http://projects.exeter.ac.uk/integrate/saca.html</w:t>
        </w:r>
      </w:hyperlink>
      <w:r w:rsidR="00AF7B4E">
        <w:t xml:space="preserve">) </w:t>
      </w:r>
      <w:r>
        <w:t xml:space="preserve">during which staff and students in the Business School addressed the challenges of using technology with large and diverse cohorts. </w:t>
      </w:r>
      <w:r w:rsidR="00EF3C5A">
        <w:t xml:space="preserve"> </w:t>
      </w:r>
      <w:r>
        <w:t>The students undertook research on student views and perceptions, provided recommendations and solutions for practice, and supported staff in bringing about wide-scale changes in teaching.</w:t>
      </w:r>
    </w:p>
    <w:p w:rsidR="00FB0CB8" w:rsidRDefault="00FB0CB8" w:rsidP="00122E4A">
      <w:pPr>
        <w:pStyle w:val="ListParagraph"/>
      </w:pPr>
    </w:p>
    <w:p w:rsidR="00FB0CB8" w:rsidRPr="00D55536" w:rsidRDefault="00D55536" w:rsidP="00FB0CB8">
      <w:pPr>
        <w:pStyle w:val="ListParagraph"/>
        <w:numPr>
          <w:ilvl w:val="0"/>
          <w:numId w:val="5"/>
        </w:numPr>
      </w:pPr>
      <w:r>
        <w:rPr>
          <w:i/>
        </w:rPr>
        <w:t>Enhancing the second year experience for undergraduate mathematicians (</w:t>
      </w:r>
      <w:hyperlink r:id="rId12" w:history="1">
        <w:r w:rsidRPr="002F17AD">
          <w:rPr>
            <w:rStyle w:val="Hyperlink"/>
            <w:i/>
          </w:rPr>
          <w:t>http://www.hestem.ac.uk/activity/enhancing-second-year-experience-undergraduate-mathematicians</w:t>
        </w:r>
      </w:hyperlink>
      <w:r>
        <w:rPr>
          <w:i/>
        </w:rPr>
        <w:t>)</w:t>
      </w:r>
    </w:p>
    <w:p w:rsidR="00D55536" w:rsidRDefault="0064737D" w:rsidP="00D55536">
      <w:pPr>
        <w:pStyle w:val="ListParagraph"/>
      </w:pPr>
      <w:r>
        <w:t xml:space="preserve">This project in the National HE STEM Programme has seen second-year undergraduate mathematicians </w:t>
      </w:r>
      <w:r w:rsidR="00E53E08">
        <w:t xml:space="preserve">at Loughborough University </w:t>
      </w:r>
      <w:r>
        <w:t xml:space="preserve">employed as interns over the summer to work with staff in redesigning </w:t>
      </w:r>
      <w:r w:rsidR="00FD40F8">
        <w:t>troublesome aspects of the curriculum and develop resources to support these changes.</w:t>
      </w:r>
    </w:p>
    <w:p w:rsidR="00FD40F8" w:rsidRDefault="00FD40F8" w:rsidP="00D55536">
      <w:pPr>
        <w:pStyle w:val="ListParagraph"/>
      </w:pPr>
    </w:p>
    <w:p w:rsidR="00E53E08" w:rsidRPr="00E53E08" w:rsidRDefault="00E53E08" w:rsidP="00E53E08">
      <w:pPr>
        <w:pStyle w:val="ListParagraph"/>
        <w:numPr>
          <w:ilvl w:val="0"/>
          <w:numId w:val="5"/>
        </w:numPr>
      </w:pPr>
      <w:r>
        <w:rPr>
          <w:i/>
        </w:rPr>
        <w:t>Student-led employability audit</w:t>
      </w:r>
    </w:p>
    <w:p w:rsidR="00E53E08" w:rsidRDefault="00E53E08" w:rsidP="00E53E08">
      <w:pPr>
        <w:pStyle w:val="ListParagraph"/>
        <w:rPr>
          <w:i/>
        </w:rPr>
      </w:pPr>
      <w:r>
        <w:rPr>
          <w:i/>
        </w:rPr>
        <w:t>(</w:t>
      </w:r>
      <w:hyperlink r:id="rId13" w:history="1">
        <w:r w:rsidRPr="002F17AD">
          <w:rPr>
            <w:rStyle w:val="Hyperlink"/>
            <w:i/>
          </w:rPr>
          <w:t>http://hestem-sw.org.uk/higher-education-curriculum/hec-projects/?p=20&amp;pp=summary</w:t>
        </w:r>
      </w:hyperlink>
      <w:r>
        <w:rPr>
          <w:i/>
        </w:rPr>
        <w:t>)</w:t>
      </w:r>
    </w:p>
    <w:p w:rsidR="00E53E08" w:rsidRDefault="00E53E08" w:rsidP="00E53E08">
      <w:pPr>
        <w:pStyle w:val="ListParagraph"/>
      </w:pPr>
      <w:r w:rsidRPr="00E53E08">
        <w:t xml:space="preserve">This project in the National HE STEM Programme has seen engineering and mathematics graduates at the University of Exeter employed over the summer to review the provision of graduate skills development opportunities within the curriculum and to make recommendations for improvement.  </w:t>
      </w:r>
      <w:r>
        <w:t xml:space="preserve">You can see the students discussing the project and the benefits to them of taking part at </w:t>
      </w:r>
      <w:hyperlink r:id="rId14" w:history="1">
        <w:r w:rsidRPr="002F17AD">
          <w:rPr>
            <w:rStyle w:val="Hyperlink"/>
          </w:rPr>
          <w:t>http://www.creativestem.co.uk/</w:t>
        </w:r>
      </w:hyperlink>
      <w:r>
        <w:t>.</w:t>
      </w:r>
    </w:p>
    <w:p w:rsidR="00E53E08" w:rsidRDefault="00E53E08" w:rsidP="00E53E08">
      <w:pPr>
        <w:pStyle w:val="ListParagraph"/>
      </w:pPr>
    </w:p>
    <w:p w:rsidR="00E53E08" w:rsidRPr="00E53E08" w:rsidRDefault="00E53E08" w:rsidP="00E53E08">
      <w:pPr>
        <w:pStyle w:val="ListParagraph"/>
        <w:numPr>
          <w:ilvl w:val="0"/>
          <w:numId w:val="5"/>
        </w:numPr>
      </w:pPr>
      <w:r>
        <w:rPr>
          <w:i/>
        </w:rPr>
        <w:t>Academic projects focussing on the curriculum</w:t>
      </w:r>
    </w:p>
    <w:p w:rsidR="00E53E08" w:rsidRDefault="0036422F" w:rsidP="00E53E08">
      <w:pPr>
        <w:pStyle w:val="ListParagraph"/>
      </w:pPr>
      <w:r>
        <w:t>Undergraduate projects are an important component of many STEM curricula.  At Exeter we offer a range of projects (mainly in the 3</w:t>
      </w:r>
      <w:r w:rsidRPr="0036422F">
        <w:rPr>
          <w:vertAlign w:val="superscript"/>
        </w:rPr>
        <w:t>rd</w:t>
      </w:r>
      <w:r>
        <w:t xml:space="preserve"> and 4</w:t>
      </w:r>
      <w:r w:rsidRPr="0036422F">
        <w:rPr>
          <w:vertAlign w:val="superscript"/>
        </w:rPr>
        <w:t>th</w:t>
      </w:r>
      <w:r w:rsidR="00E22931">
        <w:t xml:space="preserve"> year) , which include exploring problems posed by business and industry.  Sometimes, however, the “client” is the department itself – in the past three years we have had students considering issues of employability, technology-enhanced learning, research-led teaching and working with staff on the development of digital resources.</w:t>
      </w:r>
    </w:p>
    <w:p w:rsidR="00DC56A1" w:rsidRDefault="00DC56A1" w:rsidP="00E53E08">
      <w:pPr>
        <w:pStyle w:val="ListParagraph"/>
      </w:pPr>
    </w:p>
    <w:p w:rsidR="00DC56A1" w:rsidRDefault="00DC56A1" w:rsidP="00DC56A1">
      <w:pPr>
        <w:pStyle w:val="ListParagraph"/>
        <w:ind w:left="0"/>
      </w:pPr>
    </w:p>
    <w:p w:rsidR="00BC7691" w:rsidRDefault="00DC56A1" w:rsidP="00DC56A1">
      <w:pPr>
        <w:pStyle w:val="ListParagraph"/>
        <w:shd w:val="clear" w:color="auto" w:fill="C6D9F1" w:themeFill="text2" w:themeFillTint="33"/>
        <w:ind w:left="0"/>
        <w:rPr>
          <w:rStyle w:val="Emphasis"/>
        </w:rPr>
      </w:pPr>
      <w:r>
        <w:t xml:space="preserve">Q: </w:t>
      </w:r>
      <w:r>
        <w:rPr>
          <w:rStyle w:val="Emphasis"/>
        </w:rPr>
        <w:t>What opportunities are there for your students to influence curriculum design?  Where is there scope for a deeper and more productive relationship?</w:t>
      </w:r>
    </w:p>
    <w:p w:rsidR="00BC7691" w:rsidRDefault="00BC7691">
      <w:pPr>
        <w:rPr>
          <w:rStyle w:val="Emphasis"/>
        </w:rPr>
      </w:pPr>
      <w:r>
        <w:rPr>
          <w:rStyle w:val="Emphasis"/>
        </w:rPr>
        <w:br w:type="page"/>
      </w:r>
    </w:p>
    <w:p w:rsidR="00013679" w:rsidRDefault="00013679" w:rsidP="00013679">
      <w:pPr>
        <w:pStyle w:val="Heading1"/>
      </w:pPr>
      <w:r>
        <w:lastRenderedPageBreak/>
        <w:t xml:space="preserve">Session 2: </w:t>
      </w:r>
      <w:r w:rsidRPr="00013679">
        <w:t>Models for employer engagement: from targeted interventions to curriculum design</w:t>
      </w:r>
    </w:p>
    <w:p w:rsidR="00DC56A1" w:rsidRDefault="0096022A" w:rsidP="00BC7691">
      <w:pPr>
        <w:pStyle w:val="ListParagraph"/>
        <w:ind w:left="0"/>
      </w:pPr>
      <w:r>
        <w:t>For the most part, employers seem to be telling us that universities are not very good at employer engagement.  They don’t know what we offer, how to contact us, how their enquiry will be dealt with and by whom, ...</w:t>
      </w:r>
    </w:p>
    <w:p w:rsidR="0096022A" w:rsidRDefault="0096022A" w:rsidP="00BC7691">
      <w:pPr>
        <w:pStyle w:val="ListParagraph"/>
        <w:ind w:left="0"/>
      </w:pPr>
    </w:p>
    <w:p w:rsidR="0096022A" w:rsidRDefault="0096022A" w:rsidP="00BC7691">
      <w:pPr>
        <w:pStyle w:val="ListParagraph"/>
        <w:ind w:left="0"/>
      </w:pPr>
      <w:r>
        <w:t>Do you?</w:t>
      </w:r>
    </w:p>
    <w:p w:rsidR="0096022A" w:rsidRDefault="0096022A" w:rsidP="00BC7691">
      <w:pPr>
        <w:pStyle w:val="ListParagraph"/>
        <w:ind w:left="0"/>
      </w:pPr>
    </w:p>
    <w:p w:rsidR="0096022A" w:rsidRDefault="0096022A" w:rsidP="0096022A">
      <w:pPr>
        <w:pStyle w:val="ListParagraph"/>
        <w:shd w:val="clear" w:color="auto" w:fill="C6D9F1" w:themeFill="text2" w:themeFillTint="33"/>
        <w:ind w:left="0"/>
      </w:pPr>
      <w:r>
        <w:t>Quiz</w:t>
      </w:r>
    </w:p>
    <w:p w:rsidR="002961A9" w:rsidRDefault="002961A9" w:rsidP="002961A9">
      <w:pPr>
        <w:pStyle w:val="ListParagraph"/>
        <w:ind w:left="0"/>
      </w:pPr>
    </w:p>
    <w:p w:rsidR="002961A9" w:rsidRDefault="002961A9" w:rsidP="002961A9">
      <w:pPr>
        <w:pStyle w:val="ListParagraph"/>
        <w:numPr>
          <w:ilvl w:val="0"/>
          <w:numId w:val="10"/>
        </w:numPr>
      </w:pPr>
      <w:r>
        <w:t>If an employer were to contact your department in relation to research, teaching or graduate recruitment who would be the right people to speak to and how would the employer know?</w:t>
      </w:r>
    </w:p>
    <w:p w:rsidR="002961A9" w:rsidRDefault="002961A9" w:rsidP="002961A9">
      <w:pPr>
        <w:pStyle w:val="ListParagraph"/>
      </w:pPr>
    </w:p>
    <w:p w:rsidR="002961A9" w:rsidRDefault="002961A9" w:rsidP="002961A9">
      <w:pPr>
        <w:pStyle w:val="ListParagraph"/>
        <w:numPr>
          <w:ilvl w:val="0"/>
          <w:numId w:val="10"/>
        </w:numPr>
      </w:pPr>
      <w:r>
        <w:t>If you were meeting with an employer and wanted to know (in advance) what other working relationships they had with the university/department how would you get this information?</w:t>
      </w:r>
    </w:p>
    <w:p w:rsidR="002961A9" w:rsidRDefault="002961A9" w:rsidP="002961A9">
      <w:pPr>
        <w:pStyle w:val="ListParagraph"/>
      </w:pPr>
    </w:p>
    <w:p w:rsidR="002961A9" w:rsidRDefault="002961A9" w:rsidP="002961A9">
      <w:pPr>
        <w:pStyle w:val="ListParagraph"/>
        <w:numPr>
          <w:ilvl w:val="0"/>
          <w:numId w:val="10"/>
        </w:numPr>
      </w:pPr>
      <w:r>
        <w:t>What are the processes in your department/institution for sharing contacts and recording employer engagement activities?</w:t>
      </w:r>
    </w:p>
    <w:p w:rsidR="002961A9" w:rsidRDefault="002961A9" w:rsidP="002961A9"/>
    <w:p w:rsidR="0096022A" w:rsidRDefault="00185133" w:rsidP="002961A9">
      <w:pPr>
        <w:rPr>
          <w:rStyle w:val="Emphasis"/>
          <w:i w:val="0"/>
        </w:rPr>
      </w:pPr>
      <w:r>
        <w:rPr>
          <w:rStyle w:val="Emphasis"/>
          <w:i w:val="0"/>
        </w:rPr>
        <w:t xml:space="preserve">There are many examples of ways in which we can engage employers </w:t>
      </w:r>
      <w:r w:rsidR="008E5791">
        <w:rPr>
          <w:rStyle w:val="Emphasis"/>
          <w:i w:val="0"/>
        </w:rPr>
        <w:t>in curricula</w:t>
      </w:r>
      <w:r>
        <w:rPr>
          <w:rStyle w:val="Emphasis"/>
          <w:i w:val="0"/>
        </w:rPr>
        <w:t>r and extra-curricular activities, including:</w:t>
      </w:r>
    </w:p>
    <w:p w:rsidR="00185133" w:rsidRPr="00BE5038" w:rsidRDefault="00BE5038" w:rsidP="00185133">
      <w:pPr>
        <w:pStyle w:val="ListParagraph"/>
        <w:numPr>
          <w:ilvl w:val="0"/>
          <w:numId w:val="5"/>
        </w:numPr>
        <w:rPr>
          <w:rStyle w:val="Emphasis"/>
          <w:i w:val="0"/>
        </w:rPr>
      </w:pPr>
      <w:r>
        <w:rPr>
          <w:rStyle w:val="Emphasis"/>
        </w:rPr>
        <w:t>Careers fairs, Employer in the Foyer, ...</w:t>
      </w:r>
    </w:p>
    <w:p w:rsidR="00BE5038" w:rsidRDefault="00BE5038" w:rsidP="00BE5038">
      <w:pPr>
        <w:pStyle w:val="ListParagraph"/>
        <w:rPr>
          <w:rStyle w:val="Emphasis"/>
          <w:i w:val="0"/>
        </w:rPr>
      </w:pPr>
      <w:r w:rsidRPr="00BE5038">
        <w:rPr>
          <w:rStyle w:val="Emphasis"/>
          <w:i w:val="0"/>
        </w:rPr>
        <w:t xml:space="preserve">These are an </w:t>
      </w:r>
      <w:r>
        <w:rPr>
          <w:rStyle w:val="Emphasis"/>
          <w:i w:val="0"/>
        </w:rPr>
        <w:t>opportunity for students to learn more about graduate employers, the skills they will need and the positions available.  At Exeter, in addition to the usual careers fairs with many employers, we bring an employer in to the foyer on Wednesday lunchtimes</w:t>
      </w:r>
      <w:r w:rsidR="0072717A">
        <w:rPr>
          <w:rStyle w:val="Emphasis"/>
          <w:i w:val="0"/>
        </w:rPr>
        <w:t xml:space="preserve"> to meet interested students.</w:t>
      </w:r>
      <w:r w:rsidR="0095108B">
        <w:rPr>
          <w:rStyle w:val="Emphasis"/>
          <w:i w:val="0"/>
        </w:rPr>
        <w:t xml:space="preserve">  These don’t just have to be extra-curricular events – why not invite students to write an account about the company, or the employment opportunities, or the skills needed to be successful in the industry?</w:t>
      </w:r>
    </w:p>
    <w:p w:rsidR="0095108B" w:rsidRDefault="0095108B" w:rsidP="00BE5038">
      <w:pPr>
        <w:pStyle w:val="ListParagraph"/>
        <w:rPr>
          <w:rStyle w:val="Emphasis"/>
          <w:i w:val="0"/>
        </w:rPr>
      </w:pPr>
    </w:p>
    <w:p w:rsidR="0095108B" w:rsidRPr="001A5CD0" w:rsidRDefault="001A5CD0" w:rsidP="0095108B">
      <w:pPr>
        <w:pStyle w:val="ListParagraph"/>
        <w:numPr>
          <w:ilvl w:val="0"/>
          <w:numId w:val="5"/>
        </w:numPr>
        <w:rPr>
          <w:rStyle w:val="Emphasis"/>
          <w:i w:val="0"/>
        </w:rPr>
      </w:pPr>
      <w:r>
        <w:rPr>
          <w:rStyle w:val="Emphasis"/>
        </w:rPr>
        <w:t>Guest lectures</w:t>
      </w:r>
    </w:p>
    <w:p w:rsidR="001A5CD0" w:rsidRDefault="00972B18" w:rsidP="001A5CD0">
      <w:pPr>
        <w:pStyle w:val="ListParagraph"/>
        <w:rPr>
          <w:rStyle w:val="Emphasis"/>
          <w:i w:val="0"/>
        </w:rPr>
      </w:pPr>
      <w:r>
        <w:rPr>
          <w:rStyle w:val="Emphasis"/>
          <w:i w:val="0"/>
        </w:rPr>
        <w:t xml:space="preserve">Most of our students will leave university for graduate employment and guest lectures from industry experts and local companies are </w:t>
      </w:r>
      <w:r w:rsidR="00F25921">
        <w:rPr>
          <w:rStyle w:val="Emphasis"/>
          <w:i w:val="0"/>
        </w:rPr>
        <w:t>one</w:t>
      </w:r>
      <w:r>
        <w:rPr>
          <w:rStyle w:val="Emphasis"/>
          <w:i w:val="0"/>
        </w:rPr>
        <w:t xml:space="preserve"> way for students to see how their studies relate to the professional work environment.</w:t>
      </w:r>
      <w:r w:rsidR="001E5DCE">
        <w:rPr>
          <w:rStyle w:val="Emphasis"/>
          <w:i w:val="0"/>
        </w:rPr>
        <w:t xml:space="preserve">  These might be one-off lectures, or a series and could form part of the assessment for the course as with the previous example.</w:t>
      </w:r>
    </w:p>
    <w:p w:rsidR="00E33266" w:rsidRDefault="00E33266" w:rsidP="001A5CD0">
      <w:pPr>
        <w:pStyle w:val="ListParagraph"/>
        <w:rPr>
          <w:rStyle w:val="Emphasis"/>
          <w:i w:val="0"/>
        </w:rPr>
      </w:pPr>
    </w:p>
    <w:p w:rsidR="00E33266" w:rsidRDefault="00E33266" w:rsidP="00E33266">
      <w:pPr>
        <w:pStyle w:val="ListParagraph"/>
        <w:numPr>
          <w:ilvl w:val="0"/>
          <w:numId w:val="5"/>
        </w:numPr>
        <w:rPr>
          <w:rStyle w:val="Emphasis"/>
          <w:i w:val="0"/>
        </w:rPr>
      </w:pPr>
      <w:r>
        <w:rPr>
          <w:rStyle w:val="Emphasis"/>
        </w:rPr>
        <w:t>Projects</w:t>
      </w:r>
    </w:p>
    <w:p w:rsidR="00E33266" w:rsidRDefault="006F43C7" w:rsidP="00E33266">
      <w:pPr>
        <w:pStyle w:val="ListParagraph"/>
        <w:rPr>
          <w:rStyle w:val="Emphasis"/>
          <w:i w:val="0"/>
        </w:rPr>
      </w:pPr>
      <w:r>
        <w:rPr>
          <w:rStyle w:val="Emphasis"/>
          <w:i w:val="0"/>
        </w:rPr>
        <w:t>These can be a really effective way of engaging employers with the undergraduate curriculum, both in the design stage (what are interesting problems to consider andimportant skills to develop?) and direct interaction with students through employer-led projects.</w:t>
      </w:r>
      <w:r w:rsidR="00711467">
        <w:rPr>
          <w:rStyle w:val="Emphasis"/>
          <w:i w:val="0"/>
        </w:rPr>
        <w:t xml:space="preserve">  The National HE STEM project “Get STEM working: innovation with employer and student engagement” (</w:t>
      </w:r>
      <w:hyperlink r:id="rId15" w:history="1">
        <w:r w:rsidR="00711467" w:rsidRPr="00C065BA">
          <w:rPr>
            <w:rStyle w:val="Hyperlink"/>
          </w:rPr>
          <w:t>http://hestem-sw.org.uk/higher-education-curriculum/hec-</w:t>
        </w:r>
        <w:r w:rsidR="00711467" w:rsidRPr="00C065BA">
          <w:rPr>
            <w:rStyle w:val="Hyperlink"/>
          </w:rPr>
          <w:lastRenderedPageBreak/>
          <w:t>projects/?p=36&amp;pp=summary</w:t>
        </w:r>
      </w:hyperlink>
      <w:r w:rsidR="00711467">
        <w:rPr>
          <w:rStyle w:val="Emphasis"/>
          <w:i w:val="0"/>
        </w:rPr>
        <w:t>) is looking at ways of getting students and employers working together and will be producing guides on best practice.</w:t>
      </w:r>
    </w:p>
    <w:p w:rsidR="000342DF" w:rsidRDefault="000342DF" w:rsidP="00E33266">
      <w:pPr>
        <w:pStyle w:val="ListParagraph"/>
        <w:rPr>
          <w:rStyle w:val="Emphasis"/>
          <w:i w:val="0"/>
        </w:rPr>
      </w:pPr>
    </w:p>
    <w:p w:rsidR="000342DF" w:rsidRDefault="00CE3F12" w:rsidP="00E33266">
      <w:pPr>
        <w:pStyle w:val="ListParagraph"/>
        <w:rPr>
          <w:rStyle w:val="Emphasis"/>
          <w:i w:val="0"/>
        </w:rPr>
      </w:pPr>
      <w:r>
        <w:rPr>
          <w:rStyle w:val="Emphasis"/>
          <w:i w:val="0"/>
        </w:rPr>
        <w:t>For some departments, client-based projects are the cornerstone of the degree programme e.g. BA/BSc Product Design and Engineering at Middlesex University (</w:t>
      </w:r>
      <w:hyperlink r:id="rId16" w:history="1">
        <w:r w:rsidRPr="00C065BA">
          <w:rPr>
            <w:rStyle w:val="Hyperlink"/>
          </w:rPr>
          <w:t>http://www.mdx.ac.uk/courses/undergraduate/product_design_engineering/PDE_industry_projects.aspx</w:t>
        </w:r>
      </w:hyperlink>
      <w:r w:rsidR="004C18B6">
        <w:rPr>
          <w:rStyle w:val="Emphasis"/>
          <w:i w:val="0"/>
        </w:rPr>
        <w:t>)</w:t>
      </w:r>
      <w:r>
        <w:rPr>
          <w:rStyle w:val="Emphasis"/>
          <w:i w:val="0"/>
        </w:rPr>
        <w:t>.  Through the National HE STEM project “Deep integration in first year engineering programmes” (</w:t>
      </w:r>
      <w:hyperlink r:id="rId17" w:history="1">
        <w:r w:rsidRPr="00C065BA">
          <w:rPr>
            <w:rStyle w:val="Hyperlink"/>
          </w:rPr>
          <w:t>http://www.hestem.ac.uk/activity/deep-integration-first-year-engineering-programmes</w:t>
        </w:r>
      </w:hyperlink>
      <w:r>
        <w:rPr>
          <w:rStyle w:val="Emphasis"/>
          <w:i w:val="0"/>
        </w:rPr>
        <w:t>), Martin Loomes is aiming to extend this further by building the entire curriculum on projects for industrial clients and mapping the emergent student learning to meet the requirements of accrediting bodies.</w:t>
      </w:r>
    </w:p>
    <w:p w:rsidR="00D9167F" w:rsidRDefault="00D9167F" w:rsidP="00E33266">
      <w:pPr>
        <w:pStyle w:val="ListParagraph"/>
        <w:rPr>
          <w:rStyle w:val="Emphasis"/>
          <w:i w:val="0"/>
        </w:rPr>
      </w:pPr>
    </w:p>
    <w:p w:rsidR="00D9167F" w:rsidRPr="00D9167F" w:rsidRDefault="00D9167F" w:rsidP="00D9167F">
      <w:pPr>
        <w:pStyle w:val="ListParagraph"/>
        <w:numPr>
          <w:ilvl w:val="0"/>
          <w:numId w:val="5"/>
        </w:numPr>
        <w:rPr>
          <w:rStyle w:val="Emphasis"/>
          <w:i w:val="0"/>
        </w:rPr>
      </w:pPr>
      <w:r>
        <w:rPr>
          <w:rStyle w:val="Emphasis"/>
        </w:rPr>
        <w:t>Placements</w:t>
      </w:r>
    </w:p>
    <w:p w:rsidR="00D9167F" w:rsidRDefault="00D9167F" w:rsidP="00D9167F">
      <w:pPr>
        <w:pStyle w:val="ListParagraph"/>
        <w:rPr>
          <w:rStyle w:val="Emphasis"/>
          <w:i w:val="0"/>
        </w:rPr>
      </w:pPr>
      <w:r>
        <w:rPr>
          <w:rStyle w:val="Emphasis"/>
          <w:i w:val="0"/>
        </w:rPr>
        <w:t xml:space="preserve">Some institutions (e.g. the University of Bath) have long-standing reputations for sending students on </w:t>
      </w:r>
      <w:r w:rsidR="00AB132E">
        <w:rPr>
          <w:rStyle w:val="Emphasis"/>
          <w:i w:val="0"/>
        </w:rPr>
        <w:t>year-long placements</w:t>
      </w:r>
      <w:r w:rsidR="00AC6C5A">
        <w:rPr>
          <w:rStyle w:val="Emphasis"/>
          <w:i w:val="0"/>
        </w:rPr>
        <w:t xml:space="preserve"> in STEM subjects and dedicated staff to support employers and students in the process.</w:t>
      </w:r>
      <w:r w:rsidR="000658D9">
        <w:rPr>
          <w:rStyle w:val="Emphasis"/>
          <w:i w:val="0"/>
        </w:rPr>
        <w:t xml:space="preserve">  Alternatives include the “Commercial and Industrial Experience” module at Exeter, during which students complete an 8-12 week placement in the summer between their 2</w:t>
      </w:r>
      <w:r w:rsidR="000658D9" w:rsidRPr="000658D9">
        <w:rPr>
          <w:rStyle w:val="Emphasis"/>
          <w:i w:val="0"/>
          <w:vertAlign w:val="superscript"/>
        </w:rPr>
        <w:t>nd</w:t>
      </w:r>
      <w:r w:rsidR="000658D9">
        <w:rPr>
          <w:rStyle w:val="Emphasis"/>
          <w:i w:val="0"/>
        </w:rPr>
        <w:t xml:space="preserve"> and 3</w:t>
      </w:r>
      <w:r w:rsidR="000658D9" w:rsidRPr="000658D9">
        <w:rPr>
          <w:rStyle w:val="Emphasis"/>
          <w:i w:val="0"/>
          <w:vertAlign w:val="superscript"/>
        </w:rPr>
        <w:t>rd</w:t>
      </w:r>
      <w:r w:rsidR="000658D9">
        <w:rPr>
          <w:rStyle w:val="Emphasis"/>
          <w:i w:val="0"/>
        </w:rPr>
        <w:t xml:space="preserve"> years and then produce a technical report, reflective essay and poster.</w:t>
      </w:r>
    </w:p>
    <w:p w:rsidR="001234CB" w:rsidRDefault="001234CB" w:rsidP="00D9167F">
      <w:pPr>
        <w:pStyle w:val="ListParagraph"/>
        <w:rPr>
          <w:rStyle w:val="Emphasis"/>
          <w:i w:val="0"/>
        </w:rPr>
      </w:pPr>
    </w:p>
    <w:p w:rsidR="001234CB" w:rsidRDefault="00EE0CB7" w:rsidP="001234CB">
      <w:pPr>
        <w:pStyle w:val="ListParagraph"/>
        <w:numPr>
          <w:ilvl w:val="0"/>
          <w:numId w:val="5"/>
        </w:numPr>
        <w:rPr>
          <w:rStyle w:val="Emphasis"/>
          <w:i w:val="0"/>
        </w:rPr>
      </w:pPr>
      <w:r>
        <w:rPr>
          <w:rStyle w:val="Emphasis"/>
        </w:rPr>
        <w:t>Work-based learning &amp; higher level apprenticeships</w:t>
      </w:r>
    </w:p>
    <w:p w:rsidR="00EE0CB7" w:rsidRDefault="006A143C" w:rsidP="00EE0CB7">
      <w:pPr>
        <w:pStyle w:val="ListParagraph"/>
        <w:rPr>
          <w:rStyle w:val="Emphasis"/>
          <w:i w:val="0"/>
        </w:rPr>
      </w:pPr>
      <w:r>
        <w:rPr>
          <w:rStyle w:val="Emphasis"/>
          <w:i w:val="0"/>
        </w:rPr>
        <w:t>With the proposed changes in funding for Higher Education, it seems likely that alternatives to the traditional model of full-time academic study will become more popular.</w:t>
      </w:r>
      <w:r w:rsidR="00CE640E">
        <w:rPr>
          <w:rStyle w:val="Emphasis"/>
          <w:i w:val="0"/>
        </w:rPr>
        <w:t xml:space="preserve">  The Engineering Council’s Gateways project (</w:t>
      </w:r>
      <w:hyperlink r:id="rId18" w:history="1">
        <w:r w:rsidR="00CE640E" w:rsidRPr="00C065BA">
          <w:rPr>
            <w:rStyle w:val="Hyperlink"/>
          </w:rPr>
          <w:t>http://www.engineeringgateways.co.uk/</w:t>
        </w:r>
      </w:hyperlink>
      <w:r w:rsidR="00CE640E">
        <w:rPr>
          <w:rStyle w:val="Emphasis"/>
          <w:i w:val="0"/>
        </w:rPr>
        <w:t xml:space="preserve">) </w:t>
      </w:r>
      <w:r w:rsidR="00657D65">
        <w:rPr>
          <w:rStyle w:val="Emphasis"/>
          <w:i w:val="0"/>
        </w:rPr>
        <w:t xml:space="preserve"> provides a framework for work-based degree programmes at BSc and MSc levels.</w:t>
      </w:r>
      <w:r w:rsidR="004B677C">
        <w:rPr>
          <w:rStyle w:val="Emphasis"/>
          <w:i w:val="0"/>
        </w:rPr>
        <w:t xml:space="preserve">  The National HE STEM Programme project “Professional and Industrial Degrees: shaping curricula through improved employer engagement” (</w:t>
      </w:r>
      <w:hyperlink r:id="rId19" w:history="1">
        <w:r w:rsidR="004B677C" w:rsidRPr="00C065BA">
          <w:rPr>
            <w:rStyle w:val="Hyperlink"/>
          </w:rPr>
          <w:t>http://www.hestem.ac.uk/activity/professional-and-industrial-degrees-paid-shaping-curricula-through-improved-employer-engage</w:t>
        </w:r>
      </w:hyperlink>
      <w:r w:rsidR="004B677C">
        <w:rPr>
          <w:rStyle w:val="Emphasis"/>
          <w:i w:val="0"/>
        </w:rPr>
        <w:t>) aims to develop full-time work-based learning degree programmes with local employers.</w:t>
      </w:r>
    </w:p>
    <w:p w:rsidR="00BC7231" w:rsidRDefault="00BC7231" w:rsidP="00EE0CB7">
      <w:pPr>
        <w:pStyle w:val="ListParagraph"/>
        <w:rPr>
          <w:rStyle w:val="Emphasis"/>
          <w:i w:val="0"/>
        </w:rPr>
      </w:pPr>
    </w:p>
    <w:p w:rsidR="00BC7231" w:rsidRDefault="00195EC2" w:rsidP="00BC7231">
      <w:pPr>
        <w:pStyle w:val="ListParagraph"/>
        <w:ind w:left="0"/>
        <w:rPr>
          <w:rStyle w:val="Emphasis"/>
          <w:i w:val="0"/>
        </w:rPr>
      </w:pPr>
      <w:r>
        <w:rPr>
          <w:rStyle w:val="Emphasis"/>
          <w:i w:val="0"/>
        </w:rPr>
        <w:t>At a strategic level, t</w:t>
      </w:r>
      <w:r w:rsidR="00BC7231">
        <w:rPr>
          <w:rStyle w:val="Emphasis"/>
          <w:i w:val="0"/>
        </w:rPr>
        <w:t>he National HE STEM Programme project “</w:t>
      </w:r>
      <w:r w:rsidR="00BC7231" w:rsidRPr="00BC7231">
        <w:rPr>
          <w:bCs/>
          <w:iCs/>
        </w:rPr>
        <w:t>Progressing from labour market intelligence to HE level provision that is well supported by employers</w:t>
      </w:r>
      <w:r w:rsidR="00BC7231">
        <w:rPr>
          <w:rStyle w:val="Emphasis"/>
          <w:i w:val="0"/>
        </w:rPr>
        <w:t>“ (</w:t>
      </w:r>
      <w:hyperlink r:id="rId20" w:history="1">
        <w:r w:rsidR="00BC7231" w:rsidRPr="00C065BA">
          <w:rPr>
            <w:rStyle w:val="Hyperlink"/>
          </w:rPr>
          <w:t>http://hestem-sw.org.uk/workforce-development/wfd-projects/?p=29&amp;pp=summary</w:t>
        </w:r>
      </w:hyperlink>
      <w:r w:rsidR="00BC7231">
        <w:rPr>
          <w:rStyle w:val="Emphasis"/>
          <w:i w:val="0"/>
        </w:rPr>
        <w:t xml:space="preserve">) </w:t>
      </w:r>
      <w:r w:rsidR="00197EFD">
        <w:rPr>
          <w:rStyle w:val="Emphasis"/>
          <w:i w:val="0"/>
        </w:rPr>
        <w:t>is exploring the processes underpinning employer engagement across diverse institutions in the HE sector in the South-West and will be producing case studies and guides on best practice.</w:t>
      </w:r>
    </w:p>
    <w:p w:rsidR="002A242F" w:rsidRDefault="002A242F" w:rsidP="00BC7231">
      <w:pPr>
        <w:pStyle w:val="ListParagraph"/>
        <w:ind w:left="0"/>
        <w:rPr>
          <w:rStyle w:val="Emphasis"/>
          <w:i w:val="0"/>
        </w:rPr>
      </w:pPr>
    </w:p>
    <w:p w:rsidR="00DC3519" w:rsidRDefault="00DC3519" w:rsidP="00BC7231">
      <w:pPr>
        <w:pStyle w:val="ListParagraph"/>
        <w:ind w:left="0"/>
        <w:rPr>
          <w:rStyle w:val="Emphasis"/>
          <w:i w:val="0"/>
        </w:rPr>
      </w:pPr>
    </w:p>
    <w:p w:rsidR="00762F44" w:rsidRDefault="009F7008" w:rsidP="009F7008">
      <w:pPr>
        <w:pStyle w:val="ListParagraph"/>
        <w:shd w:val="clear" w:color="auto" w:fill="C6D9F1" w:themeFill="text2" w:themeFillTint="33"/>
        <w:ind w:left="0"/>
        <w:rPr>
          <w:rStyle w:val="Emphasis"/>
          <w:bCs/>
          <w:i w:val="0"/>
        </w:rPr>
      </w:pPr>
      <w:r w:rsidRPr="009F7008">
        <w:rPr>
          <w:rStyle w:val="Emphasis"/>
          <w:bCs/>
          <w:i w:val="0"/>
        </w:rPr>
        <w:t xml:space="preserve">Q: </w:t>
      </w:r>
      <w:r>
        <w:rPr>
          <w:rStyle w:val="Emphasis"/>
          <w:bCs/>
          <w:i w:val="0"/>
        </w:rPr>
        <w:t>What opportunities are there for employers to engage in curriculum delivery and design at your institution?  What are the processes that underpin this?  Which are important strategic relationships and how are they managed?</w:t>
      </w:r>
    </w:p>
    <w:p w:rsidR="00564926" w:rsidRDefault="00762F44">
      <w:pPr>
        <w:rPr>
          <w:rStyle w:val="Emphasis"/>
          <w:bCs/>
          <w:i w:val="0"/>
        </w:rPr>
        <w:sectPr w:rsidR="00564926" w:rsidSect="00524635">
          <w:headerReference w:type="default" r:id="rId21"/>
          <w:pgSz w:w="11906" w:h="16838"/>
          <w:pgMar w:top="1440" w:right="1440" w:bottom="1440" w:left="1440" w:header="708" w:footer="708" w:gutter="0"/>
          <w:cols w:space="708"/>
          <w:docGrid w:linePitch="360"/>
        </w:sectPr>
      </w:pPr>
      <w:r>
        <w:rPr>
          <w:rStyle w:val="Emphasis"/>
          <w:bCs/>
          <w:i w:val="0"/>
        </w:rPr>
        <w:br w:type="page"/>
      </w:r>
    </w:p>
    <w:p w:rsidR="002A242F" w:rsidRDefault="00762F44" w:rsidP="00762F44">
      <w:pPr>
        <w:pStyle w:val="Heading1"/>
        <w:rPr>
          <w:rStyle w:val="Emphasis"/>
          <w:i w:val="0"/>
        </w:rPr>
      </w:pPr>
      <w:r>
        <w:rPr>
          <w:rStyle w:val="Emphasis"/>
          <w:i w:val="0"/>
        </w:rPr>
        <w:lastRenderedPageBreak/>
        <w:t>Session 3: Assessing graduate skills development</w:t>
      </w:r>
    </w:p>
    <w:p w:rsidR="00CF6A1A" w:rsidRDefault="00CF6A1A" w:rsidP="00CF6A1A">
      <w:pPr>
        <w:ind w:left="720"/>
        <w:rPr>
          <w:rStyle w:val="Emphasis"/>
        </w:rPr>
      </w:pPr>
      <w:r>
        <w:rPr>
          <w:rStyle w:val="Emphasis"/>
        </w:rPr>
        <w:t xml:space="preserve">“Assessment drives what students learn ... The types of questions that we set show students what we value and how we expect them to direct their time.” </w:t>
      </w:r>
      <w:r w:rsidR="00852EB6">
        <w:rPr>
          <w:rStyle w:val="Emphasis"/>
        </w:rPr>
        <w:t xml:space="preserve"> (Smith &amp; Wood, 2000)</w:t>
      </w:r>
      <w:r w:rsidR="00852EB6">
        <w:rPr>
          <w:rStyle w:val="FootnoteReference"/>
          <w:i/>
          <w:iCs/>
        </w:rPr>
        <w:footnoteReference w:id="1"/>
      </w:r>
    </w:p>
    <w:p w:rsidR="005B738A" w:rsidRDefault="005B738A" w:rsidP="005B738A">
      <w:pPr>
        <w:rPr>
          <w:rStyle w:val="Emphasis"/>
          <w:i w:val="0"/>
        </w:rPr>
      </w:pPr>
      <w:r w:rsidRPr="005B738A">
        <w:rPr>
          <w:rStyle w:val="Emphasis"/>
          <w:i w:val="0"/>
        </w:rPr>
        <w:t xml:space="preserve">The quote from </w:t>
      </w:r>
      <w:r>
        <w:rPr>
          <w:rStyle w:val="Emphasis"/>
          <w:i w:val="0"/>
        </w:rPr>
        <w:t>Smith &amp; Wood above may come as little surprise to us, but in the context of graduate skills development emphasises the importance of ensuring an integrated approach to empl</w:t>
      </w:r>
      <w:r w:rsidR="00B75C9E">
        <w:rPr>
          <w:rStyle w:val="Emphasis"/>
          <w:i w:val="0"/>
        </w:rPr>
        <w:t>oyability and curriculum design – if we do not assess these skills appropriately then how can we expect students to value them?</w:t>
      </w:r>
    </w:p>
    <w:p w:rsidR="00B75C9E" w:rsidRDefault="00B75C9E" w:rsidP="00B75C9E">
      <w:pPr>
        <w:rPr>
          <w:rStyle w:val="Emphasis"/>
          <w:i w:val="0"/>
        </w:rPr>
      </w:pPr>
      <w:r>
        <w:rPr>
          <w:rStyle w:val="Emphasis"/>
          <w:i w:val="0"/>
        </w:rPr>
        <w:t>Employers tell us that, in addition to appropriate subject knowledge, they are looking for graduates to have developed the skills in the table below.</w:t>
      </w:r>
    </w:p>
    <w:p w:rsidR="00B75C9E" w:rsidRDefault="00B75C9E" w:rsidP="003676A9">
      <w:pPr>
        <w:shd w:val="clear" w:color="auto" w:fill="C6D9F1" w:themeFill="text2" w:themeFillTint="33"/>
        <w:rPr>
          <w:rStyle w:val="Emphasis"/>
          <w:i w:val="0"/>
        </w:rPr>
      </w:pPr>
      <w:r>
        <w:rPr>
          <w:rStyle w:val="Emphasis"/>
          <w:i w:val="0"/>
        </w:rPr>
        <w:t>Q: To what extent are these taught, practised and assessed within your degree programme(s)?</w:t>
      </w:r>
      <w:r w:rsidR="003676A9">
        <w:rPr>
          <w:rStyle w:val="Emphasis"/>
          <w:i w:val="0"/>
        </w:rPr>
        <w:t xml:space="preserve">  Where is there potential for improvement?</w:t>
      </w:r>
    </w:p>
    <w:p w:rsidR="00B75C9E" w:rsidRPr="00B75C9E" w:rsidRDefault="00B75C9E" w:rsidP="00B75C9E">
      <w:pPr>
        <w:rPr>
          <w:rStyle w:val="Emphasis"/>
          <w:i w:val="0"/>
        </w:rPr>
      </w:pPr>
    </w:p>
    <w:tbl>
      <w:tblPr>
        <w:tblStyle w:val="TableGrid"/>
        <w:tblW w:w="0" w:type="auto"/>
        <w:tblLook w:val="04A0" w:firstRow="1" w:lastRow="0" w:firstColumn="1" w:lastColumn="0" w:noHBand="0" w:noVBand="1"/>
      </w:tblPr>
      <w:tblGrid>
        <w:gridCol w:w="3510"/>
        <w:gridCol w:w="2127"/>
        <w:gridCol w:w="2126"/>
        <w:gridCol w:w="2410"/>
        <w:gridCol w:w="992"/>
        <w:gridCol w:w="3009"/>
      </w:tblGrid>
      <w:tr w:rsidR="00B75C9E" w:rsidRPr="00183C99" w:rsidTr="008B7312">
        <w:tc>
          <w:tcPr>
            <w:tcW w:w="3510" w:type="dxa"/>
          </w:tcPr>
          <w:p w:rsidR="00B75C9E" w:rsidRPr="00183C99" w:rsidRDefault="00B75C9E" w:rsidP="008B7312">
            <w:pPr>
              <w:jc w:val="center"/>
              <w:rPr>
                <w:rFonts w:cstheme="minorHAnsi"/>
              </w:rPr>
            </w:pPr>
          </w:p>
        </w:tc>
        <w:tc>
          <w:tcPr>
            <w:tcW w:w="2127" w:type="dxa"/>
          </w:tcPr>
          <w:p w:rsidR="00B75C9E" w:rsidRPr="00183C99" w:rsidRDefault="00B75C9E" w:rsidP="008B7312">
            <w:pPr>
              <w:jc w:val="center"/>
              <w:rPr>
                <w:rFonts w:cstheme="minorHAnsi"/>
              </w:rPr>
            </w:pPr>
            <w:r w:rsidRPr="00183C99">
              <w:rPr>
                <w:rFonts w:cstheme="minorHAnsi"/>
              </w:rPr>
              <w:t>Taught</w:t>
            </w:r>
          </w:p>
        </w:tc>
        <w:tc>
          <w:tcPr>
            <w:tcW w:w="2126" w:type="dxa"/>
          </w:tcPr>
          <w:p w:rsidR="00B75C9E" w:rsidRPr="00183C99" w:rsidRDefault="00B75C9E" w:rsidP="008B7312">
            <w:pPr>
              <w:jc w:val="center"/>
              <w:rPr>
                <w:rFonts w:cstheme="minorHAnsi"/>
              </w:rPr>
            </w:pPr>
            <w:r w:rsidRPr="00183C99">
              <w:rPr>
                <w:rFonts w:cstheme="minorHAnsi"/>
              </w:rPr>
              <w:t>Practiced</w:t>
            </w:r>
          </w:p>
        </w:tc>
        <w:tc>
          <w:tcPr>
            <w:tcW w:w="2410" w:type="dxa"/>
          </w:tcPr>
          <w:p w:rsidR="00B75C9E" w:rsidRPr="00183C99" w:rsidRDefault="00B75C9E" w:rsidP="008B7312">
            <w:pPr>
              <w:jc w:val="center"/>
              <w:rPr>
                <w:rFonts w:cstheme="minorHAnsi"/>
              </w:rPr>
            </w:pPr>
            <w:r w:rsidRPr="00183C99">
              <w:rPr>
                <w:rFonts w:cstheme="minorHAnsi"/>
              </w:rPr>
              <w:t>Assessed</w:t>
            </w:r>
          </w:p>
        </w:tc>
        <w:tc>
          <w:tcPr>
            <w:tcW w:w="992" w:type="dxa"/>
          </w:tcPr>
          <w:p w:rsidR="00B75C9E" w:rsidRPr="00183C99" w:rsidRDefault="00B75C9E" w:rsidP="008B7312">
            <w:pPr>
              <w:jc w:val="center"/>
              <w:rPr>
                <w:rFonts w:cstheme="minorHAnsi"/>
              </w:rPr>
            </w:pPr>
            <w:r>
              <w:rPr>
                <w:rFonts w:cstheme="minorHAnsi"/>
              </w:rPr>
              <w:t>Score</w:t>
            </w:r>
          </w:p>
        </w:tc>
        <w:tc>
          <w:tcPr>
            <w:tcW w:w="3009" w:type="dxa"/>
          </w:tcPr>
          <w:p w:rsidR="00B75C9E" w:rsidRDefault="00B75C9E" w:rsidP="008B7312">
            <w:pPr>
              <w:jc w:val="center"/>
              <w:rPr>
                <w:rFonts w:cstheme="minorHAnsi"/>
              </w:rPr>
            </w:pPr>
            <w:r>
              <w:rPr>
                <w:rFonts w:cstheme="minorHAnsi"/>
              </w:rPr>
              <w:t>What activities could improve the score?</w:t>
            </w:r>
          </w:p>
        </w:tc>
      </w:tr>
      <w:tr w:rsidR="00B75C9E" w:rsidRPr="00183C99" w:rsidTr="008B7312">
        <w:tc>
          <w:tcPr>
            <w:tcW w:w="3510" w:type="dxa"/>
          </w:tcPr>
          <w:p w:rsidR="00B75C9E" w:rsidRPr="00183C99" w:rsidRDefault="00B75C9E" w:rsidP="008B7312">
            <w:pPr>
              <w:rPr>
                <w:rFonts w:cstheme="minorHAnsi"/>
                <w:b/>
              </w:rPr>
            </w:pPr>
            <w:r>
              <w:rPr>
                <w:rFonts w:cstheme="minorHAnsi"/>
                <w:b/>
              </w:rPr>
              <w:t>Communication</w:t>
            </w:r>
          </w:p>
          <w:p w:rsidR="00B75C9E" w:rsidRPr="00183C99" w:rsidRDefault="00B75C9E" w:rsidP="008B7312">
            <w:pPr>
              <w:jc w:val="left"/>
              <w:rPr>
                <w:rFonts w:cstheme="minorHAnsi"/>
              </w:rPr>
            </w:pPr>
            <w:r>
              <w:rPr>
                <w:rFonts w:cstheme="minorHAnsi"/>
                <w:i/>
              </w:rPr>
              <w:t>Ability to produce well-structured written work, have good oral literacy, make appropriate use of PowerPoint or other visual tools, and have good listening and questioning skills.</w:t>
            </w:r>
          </w:p>
        </w:tc>
        <w:tc>
          <w:tcPr>
            <w:tcW w:w="2127" w:type="dxa"/>
          </w:tcPr>
          <w:p w:rsidR="00B75C9E" w:rsidRPr="00183C99" w:rsidRDefault="00B75C9E" w:rsidP="008B7312">
            <w:pPr>
              <w:rPr>
                <w:rFonts w:cstheme="minorHAnsi"/>
              </w:rPr>
            </w:pPr>
          </w:p>
        </w:tc>
        <w:tc>
          <w:tcPr>
            <w:tcW w:w="2126" w:type="dxa"/>
          </w:tcPr>
          <w:p w:rsidR="00B75C9E" w:rsidRPr="00183C99" w:rsidRDefault="00B75C9E" w:rsidP="008B7312">
            <w:pPr>
              <w:rPr>
                <w:rFonts w:cstheme="minorHAnsi"/>
              </w:rPr>
            </w:pPr>
          </w:p>
        </w:tc>
        <w:tc>
          <w:tcPr>
            <w:tcW w:w="2410" w:type="dxa"/>
          </w:tcPr>
          <w:p w:rsidR="00B75C9E" w:rsidRPr="00183C99" w:rsidRDefault="00B75C9E" w:rsidP="008B7312">
            <w:pPr>
              <w:rPr>
                <w:rFonts w:cstheme="minorHAnsi"/>
              </w:rPr>
            </w:pPr>
          </w:p>
        </w:tc>
        <w:tc>
          <w:tcPr>
            <w:tcW w:w="992" w:type="dxa"/>
          </w:tcPr>
          <w:p w:rsidR="00B75C9E" w:rsidRPr="00183C99" w:rsidRDefault="00B75C9E" w:rsidP="008B7312">
            <w:pPr>
              <w:rPr>
                <w:rFonts w:cstheme="minorHAnsi"/>
              </w:rPr>
            </w:pPr>
          </w:p>
        </w:tc>
        <w:tc>
          <w:tcPr>
            <w:tcW w:w="3009" w:type="dxa"/>
          </w:tcPr>
          <w:p w:rsidR="00B75C9E" w:rsidRPr="00183C99" w:rsidRDefault="00B75C9E" w:rsidP="008B7312">
            <w:pPr>
              <w:rPr>
                <w:rFonts w:cstheme="minorHAnsi"/>
              </w:rPr>
            </w:pPr>
          </w:p>
        </w:tc>
      </w:tr>
      <w:tr w:rsidR="00B75C9E" w:rsidRPr="00183C99" w:rsidTr="008B7312">
        <w:tc>
          <w:tcPr>
            <w:tcW w:w="3510" w:type="dxa"/>
          </w:tcPr>
          <w:p w:rsidR="00B75C9E" w:rsidRPr="00183C99" w:rsidRDefault="00B75C9E" w:rsidP="008B7312">
            <w:pPr>
              <w:rPr>
                <w:rFonts w:cstheme="minorHAnsi"/>
                <w:b/>
              </w:rPr>
            </w:pPr>
            <w:r w:rsidRPr="00183C99">
              <w:rPr>
                <w:rFonts w:cstheme="minorHAnsi"/>
                <w:b/>
              </w:rPr>
              <w:t>Numeracy</w:t>
            </w:r>
          </w:p>
          <w:p w:rsidR="00B75C9E" w:rsidRPr="00226816" w:rsidRDefault="00B75C9E" w:rsidP="008B7312">
            <w:pPr>
              <w:jc w:val="left"/>
              <w:rPr>
                <w:rFonts w:cstheme="minorHAnsi"/>
                <w:i/>
              </w:rPr>
            </w:pPr>
            <w:r w:rsidRPr="00226816">
              <w:rPr>
                <w:rFonts w:cstheme="minorHAnsi"/>
                <w:i/>
              </w:rPr>
              <w:t>Ability to understand information presented in mat</w:t>
            </w:r>
            <w:r>
              <w:rPr>
                <w:rFonts w:cstheme="minorHAnsi"/>
                <w:i/>
              </w:rPr>
              <w:t>hematical terms,</w:t>
            </w:r>
            <w:r w:rsidRPr="00226816">
              <w:rPr>
                <w:rFonts w:cstheme="minorHAnsi"/>
                <w:i/>
              </w:rPr>
              <w:t xml:space="preserve"> use graphs and charts to represent data</w:t>
            </w:r>
            <w:r>
              <w:rPr>
                <w:rFonts w:cstheme="minorHAnsi"/>
                <w:i/>
              </w:rPr>
              <w:t xml:space="preserve">, </w:t>
            </w:r>
            <w:r w:rsidRPr="00226816">
              <w:rPr>
                <w:rFonts w:cstheme="minorHAnsi"/>
                <w:i/>
              </w:rPr>
              <w:t xml:space="preserve">use mathematical concepts within a range of </w:t>
            </w:r>
            <w:r>
              <w:rPr>
                <w:rFonts w:cstheme="minorHAnsi"/>
                <w:i/>
              </w:rPr>
              <w:t xml:space="preserve">practical </w:t>
            </w:r>
            <w:r w:rsidRPr="00226816">
              <w:rPr>
                <w:rFonts w:cstheme="minorHAnsi"/>
                <w:i/>
              </w:rPr>
              <w:t>contexts</w:t>
            </w:r>
            <w:r>
              <w:rPr>
                <w:rFonts w:cstheme="minorHAnsi"/>
                <w:i/>
              </w:rPr>
              <w:t>.</w:t>
            </w:r>
            <w:r w:rsidRPr="00226816">
              <w:rPr>
                <w:rFonts w:cstheme="minorHAnsi"/>
                <w:i/>
              </w:rPr>
              <w:t xml:space="preserve"> </w:t>
            </w:r>
          </w:p>
        </w:tc>
        <w:tc>
          <w:tcPr>
            <w:tcW w:w="2127" w:type="dxa"/>
          </w:tcPr>
          <w:p w:rsidR="00B75C9E" w:rsidRPr="00183C99" w:rsidRDefault="00B75C9E" w:rsidP="008B7312">
            <w:pPr>
              <w:rPr>
                <w:rFonts w:cstheme="minorHAnsi"/>
              </w:rPr>
            </w:pPr>
          </w:p>
        </w:tc>
        <w:tc>
          <w:tcPr>
            <w:tcW w:w="2126" w:type="dxa"/>
          </w:tcPr>
          <w:p w:rsidR="00B75C9E" w:rsidRPr="00183C99" w:rsidRDefault="00B75C9E" w:rsidP="008B7312">
            <w:pPr>
              <w:rPr>
                <w:rFonts w:cstheme="minorHAnsi"/>
              </w:rPr>
            </w:pPr>
          </w:p>
        </w:tc>
        <w:tc>
          <w:tcPr>
            <w:tcW w:w="2410" w:type="dxa"/>
          </w:tcPr>
          <w:p w:rsidR="00B75C9E" w:rsidRPr="00183C99" w:rsidRDefault="00B75C9E" w:rsidP="008B7312">
            <w:pPr>
              <w:rPr>
                <w:rFonts w:cstheme="minorHAnsi"/>
              </w:rPr>
            </w:pPr>
          </w:p>
        </w:tc>
        <w:tc>
          <w:tcPr>
            <w:tcW w:w="992" w:type="dxa"/>
          </w:tcPr>
          <w:p w:rsidR="00B75C9E" w:rsidRPr="00183C99" w:rsidRDefault="00B75C9E" w:rsidP="008B7312">
            <w:pPr>
              <w:rPr>
                <w:rFonts w:cstheme="minorHAnsi"/>
              </w:rPr>
            </w:pPr>
          </w:p>
        </w:tc>
        <w:tc>
          <w:tcPr>
            <w:tcW w:w="3009" w:type="dxa"/>
          </w:tcPr>
          <w:p w:rsidR="00B75C9E" w:rsidRPr="00183C99" w:rsidRDefault="00B75C9E" w:rsidP="008B7312">
            <w:pPr>
              <w:rPr>
                <w:rFonts w:cstheme="minorHAnsi"/>
              </w:rPr>
            </w:pPr>
          </w:p>
        </w:tc>
      </w:tr>
      <w:tr w:rsidR="00B75C9E" w:rsidRPr="00183C99" w:rsidTr="008B7312">
        <w:tc>
          <w:tcPr>
            <w:tcW w:w="3510" w:type="dxa"/>
          </w:tcPr>
          <w:p w:rsidR="00B75C9E" w:rsidRPr="00183C99" w:rsidRDefault="00B75C9E" w:rsidP="008B7312">
            <w:pPr>
              <w:jc w:val="center"/>
              <w:rPr>
                <w:rFonts w:cstheme="minorHAnsi"/>
              </w:rPr>
            </w:pPr>
          </w:p>
        </w:tc>
        <w:tc>
          <w:tcPr>
            <w:tcW w:w="2127" w:type="dxa"/>
          </w:tcPr>
          <w:p w:rsidR="00B75C9E" w:rsidRPr="00183C99" w:rsidRDefault="00B75C9E" w:rsidP="008B7312">
            <w:pPr>
              <w:jc w:val="center"/>
              <w:rPr>
                <w:rFonts w:cstheme="minorHAnsi"/>
              </w:rPr>
            </w:pPr>
            <w:r w:rsidRPr="00183C99">
              <w:rPr>
                <w:rFonts w:cstheme="minorHAnsi"/>
              </w:rPr>
              <w:t>Taught</w:t>
            </w:r>
          </w:p>
        </w:tc>
        <w:tc>
          <w:tcPr>
            <w:tcW w:w="2126" w:type="dxa"/>
          </w:tcPr>
          <w:p w:rsidR="00B75C9E" w:rsidRPr="00183C99" w:rsidRDefault="00B75C9E" w:rsidP="008B7312">
            <w:pPr>
              <w:jc w:val="center"/>
              <w:rPr>
                <w:rFonts w:cstheme="minorHAnsi"/>
              </w:rPr>
            </w:pPr>
            <w:r w:rsidRPr="00183C99">
              <w:rPr>
                <w:rFonts w:cstheme="minorHAnsi"/>
              </w:rPr>
              <w:t>Practiced</w:t>
            </w:r>
          </w:p>
        </w:tc>
        <w:tc>
          <w:tcPr>
            <w:tcW w:w="2410" w:type="dxa"/>
          </w:tcPr>
          <w:p w:rsidR="00B75C9E" w:rsidRPr="00183C99" w:rsidRDefault="00B75C9E" w:rsidP="008B7312">
            <w:pPr>
              <w:jc w:val="center"/>
              <w:rPr>
                <w:rFonts w:cstheme="minorHAnsi"/>
              </w:rPr>
            </w:pPr>
            <w:r w:rsidRPr="00183C99">
              <w:rPr>
                <w:rFonts w:cstheme="minorHAnsi"/>
              </w:rPr>
              <w:t>Assessed</w:t>
            </w:r>
          </w:p>
        </w:tc>
        <w:tc>
          <w:tcPr>
            <w:tcW w:w="992" w:type="dxa"/>
          </w:tcPr>
          <w:p w:rsidR="00B75C9E" w:rsidRPr="00183C99" w:rsidRDefault="00B75C9E" w:rsidP="008B7312">
            <w:pPr>
              <w:jc w:val="center"/>
              <w:rPr>
                <w:rFonts w:cstheme="minorHAnsi"/>
              </w:rPr>
            </w:pPr>
            <w:r>
              <w:rPr>
                <w:rFonts w:cstheme="minorHAnsi"/>
              </w:rPr>
              <w:t>Score</w:t>
            </w:r>
          </w:p>
        </w:tc>
        <w:tc>
          <w:tcPr>
            <w:tcW w:w="3009" w:type="dxa"/>
          </w:tcPr>
          <w:p w:rsidR="00B75C9E" w:rsidRDefault="00B75C9E" w:rsidP="008B7312">
            <w:pPr>
              <w:jc w:val="center"/>
              <w:rPr>
                <w:rFonts w:cstheme="minorHAnsi"/>
              </w:rPr>
            </w:pPr>
            <w:r>
              <w:rPr>
                <w:rFonts w:cstheme="minorHAnsi"/>
              </w:rPr>
              <w:t>What activities could improve the score?</w:t>
            </w:r>
          </w:p>
        </w:tc>
      </w:tr>
      <w:tr w:rsidR="00B75C9E" w:rsidRPr="00183C99" w:rsidTr="003676A9">
        <w:trPr>
          <w:trHeight w:val="2785"/>
        </w:trPr>
        <w:tc>
          <w:tcPr>
            <w:tcW w:w="3510" w:type="dxa"/>
          </w:tcPr>
          <w:p w:rsidR="00B75C9E" w:rsidRPr="00183C99" w:rsidRDefault="00B75C9E" w:rsidP="008B7312">
            <w:pPr>
              <w:rPr>
                <w:rFonts w:cstheme="minorHAnsi"/>
                <w:b/>
              </w:rPr>
            </w:pPr>
            <w:r>
              <w:rPr>
                <w:rFonts w:cstheme="minorHAnsi"/>
                <w:b/>
              </w:rPr>
              <w:t>Team w</w:t>
            </w:r>
            <w:r w:rsidRPr="00183C99">
              <w:rPr>
                <w:rFonts w:cstheme="minorHAnsi"/>
                <w:b/>
              </w:rPr>
              <w:t>orking</w:t>
            </w:r>
          </w:p>
          <w:p w:rsidR="00B75C9E" w:rsidRPr="00183C99" w:rsidRDefault="00B75C9E" w:rsidP="008B7312">
            <w:pPr>
              <w:jc w:val="left"/>
              <w:rPr>
                <w:rFonts w:cstheme="minorHAnsi"/>
              </w:rPr>
            </w:pPr>
            <w:r>
              <w:rPr>
                <w:rFonts w:cstheme="minorHAnsi"/>
                <w:i/>
              </w:rPr>
              <w:t>Ability to understand one’s interdependence with others, respecting others, cooperating and contributing to discussions, negotiating, persuading and influencing others.</w:t>
            </w:r>
          </w:p>
        </w:tc>
        <w:tc>
          <w:tcPr>
            <w:tcW w:w="2127" w:type="dxa"/>
          </w:tcPr>
          <w:p w:rsidR="00B75C9E" w:rsidRPr="00183C99" w:rsidRDefault="00B75C9E" w:rsidP="008B7312">
            <w:pPr>
              <w:rPr>
                <w:rFonts w:cstheme="minorHAnsi"/>
              </w:rPr>
            </w:pPr>
          </w:p>
        </w:tc>
        <w:tc>
          <w:tcPr>
            <w:tcW w:w="2126" w:type="dxa"/>
          </w:tcPr>
          <w:p w:rsidR="00B75C9E" w:rsidRPr="00183C99" w:rsidRDefault="00B75C9E" w:rsidP="008B7312">
            <w:pPr>
              <w:rPr>
                <w:rFonts w:cstheme="minorHAnsi"/>
              </w:rPr>
            </w:pPr>
          </w:p>
        </w:tc>
        <w:tc>
          <w:tcPr>
            <w:tcW w:w="2410" w:type="dxa"/>
          </w:tcPr>
          <w:p w:rsidR="00B75C9E" w:rsidRPr="00183C99" w:rsidRDefault="00B75C9E" w:rsidP="008B7312">
            <w:pPr>
              <w:rPr>
                <w:rFonts w:cstheme="minorHAnsi"/>
              </w:rPr>
            </w:pPr>
          </w:p>
        </w:tc>
        <w:tc>
          <w:tcPr>
            <w:tcW w:w="992" w:type="dxa"/>
          </w:tcPr>
          <w:p w:rsidR="00B75C9E" w:rsidRPr="00183C99" w:rsidRDefault="00B75C9E" w:rsidP="008B7312">
            <w:pPr>
              <w:rPr>
                <w:rFonts w:cstheme="minorHAnsi"/>
              </w:rPr>
            </w:pPr>
          </w:p>
        </w:tc>
        <w:tc>
          <w:tcPr>
            <w:tcW w:w="3009" w:type="dxa"/>
          </w:tcPr>
          <w:p w:rsidR="00B75C9E" w:rsidRPr="00183C99" w:rsidRDefault="00B75C9E" w:rsidP="008B7312">
            <w:pPr>
              <w:rPr>
                <w:rFonts w:cstheme="minorHAnsi"/>
              </w:rPr>
            </w:pPr>
          </w:p>
        </w:tc>
      </w:tr>
      <w:tr w:rsidR="00B75C9E" w:rsidRPr="00183C99" w:rsidTr="003676A9">
        <w:trPr>
          <w:trHeight w:val="2785"/>
        </w:trPr>
        <w:tc>
          <w:tcPr>
            <w:tcW w:w="3510" w:type="dxa"/>
          </w:tcPr>
          <w:p w:rsidR="00B75C9E" w:rsidRPr="00183C99" w:rsidRDefault="00B75C9E" w:rsidP="008B7312">
            <w:pPr>
              <w:rPr>
                <w:rFonts w:cstheme="minorHAnsi"/>
                <w:b/>
              </w:rPr>
            </w:pPr>
            <w:r>
              <w:rPr>
                <w:rFonts w:cstheme="minorHAnsi"/>
                <w:b/>
              </w:rPr>
              <w:t>Problem s</w:t>
            </w:r>
            <w:r w:rsidRPr="00183C99">
              <w:rPr>
                <w:rFonts w:cstheme="minorHAnsi"/>
                <w:b/>
              </w:rPr>
              <w:t xml:space="preserve">olving </w:t>
            </w:r>
          </w:p>
          <w:p w:rsidR="00B75C9E" w:rsidRPr="00183C99" w:rsidRDefault="00B75C9E" w:rsidP="008B7312">
            <w:pPr>
              <w:jc w:val="left"/>
              <w:rPr>
                <w:rFonts w:cstheme="minorHAnsi"/>
              </w:rPr>
            </w:pPr>
            <w:r>
              <w:rPr>
                <w:rFonts w:cstheme="minorHAnsi"/>
                <w:i/>
              </w:rPr>
              <w:t>Ability to analyse facts and circumstances to determine the cause of a problem and identify and select appropriate solutions.</w:t>
            </w:r>
          </w:p>
        </w:tc>
        <w:tc>
          <w:tcPr>
            <w:tcW w:w="2127" w:type="dxa"/>
          </w:tcPr>
          <w:p w:rsidR="00B75C9E" w:rsidRPr="00183C99" w:rsidRDefault="00B75C9E" w:rsidP="008B7312">
            <w:pPr>
              <w:rPr>
                <w:rFonts w:cstheme="minorHAnsi"/>
              </w:rPr>
            </w:pPr>
          </w:p>
        </w:tc>
        <w:tc>
          <w:tcPr>
            <w:tcW w:w="2126" w:type="dxa"/>
          </w:tcPr>
          <w:p w:rsidR="00B75C9E" w:rsidRPr="00183C99" w:rsidRDefault="00B75C9E" w:rsidP="008B7312">
            <w:pPr>
              <w:rPr>
                <w:rFonts w:cstheme="minorHAnsi"/>
              </w:rPr>
            </w:pPr>
          </w:p>
        </w:tc>
        <w:tc>
          <w:tcPr>
            <w:tcW w:w="2410" w:type="dxa"/>
          </w:tcPr>
          <w:p w:rsidR="00B75C9E" w:rsidRPr="00183C99" w:rsidRDefault="00B75C9E" w:rsidP="008B7312">
            <w:pPr>
              <w:rPr>
                <w:rFonts w:cstheme="minorHAnsi"/>
              </w:rPr>
            </w:pPr>
          </w:p>
        </w:tc>
        <w:tc>
          <w:tcPr>
            <w:tcW w:w="992" w:type="dxa"/>
          </w:tcPr>
          <w:p w:rsidR="00B75C9E" w:rsidRPr="00183C99" w:rsidRDefault="00B75C9E" w:rsidP="008B7312">
            <w:pPr>
              <w:rPr>
                <w:rFonts w:cstheme="minorHAnsi"/>
              </w:rPr>
            </w:pPr>
          </w:p>
        </w:tc>
        <w:tc>
          <w:tcPr>
            <w:tcW w:w="3009" w:type="dxa"/>
          </w:tcPr>
          <w:p w:rsidR="00B75C9E" w:rsidRPr="00183C99" w:rsidRDefault="00B75C9E" w:rsidP="008B7312">
            <w:pPr>
              <w:rPr>
                <w:rFonts w:cstheme="minorHAnsi"/>
              </w:rPr>
            </w:pPr>
          </w:p>
        </w:tc>
      </w:tr>
      <w:tr w:rsidR="00B75C9E" w:rsidRPr="00183C99" w:rsidTr="003676A9">
        <w:trPr>
          <w:trHeight w:val="2785"/>
        </w:trPr>
        <w:tc>
          <w:tcPr>
            <w:tcW w:w="3510" w:type="dxa"/>
          </w:tcPr>
          <w:p w:rsidR="00B75C9E" w:rsidRPr="00183C99" w:rsidRDefault="00B75C9E" w:rsidP="008B7312">
            <w:pPr>
              <w:rPr>
                <w:rFonts w:cstheme="minorHAnsi"/>
                <w:b/>
              </w:rPr>
            </w:pPr>
            <w:r>
              <w:rPr>
                <w:rFonts w:cstheme="minorHAnsi"/>
                <w:b/>
              </w:rPr>
              <w:t>Project m</w:t>
            </w:r>
            <w:r w:rsidRPr="00183C99">
              <w:rPr>
                <w:rFonts w:cstheme="minorHAnsi"/>
                <w:b/>
              </w:rPr>
              <w:t>anagement</w:t>
            </w:r>
          </w:p>
          <w:p w:rsidR="00B75C9E" w:rsidRPr="003E7ED0" w:rsidRDefault="00B75C9E" w:rsidP="008B7312">
            <w:pPr>
              <w:jc w:val="left"/>
              <w:rPr>
                <w:rFonts w:cstheme="minorHAnsi"/>
                <w:i/>
              </w:rPr>
            </w:pPr>
            <w:r w:rsidRPr="003E7ED0">
              <w:rPr>
                <w:rFonts w:cstheme="minorHAnsi"/>
                <w:i/>
              </w:rPr>
              <w:t>Ability to work to a brief, setting and implementing objectives, scheduling and managing tasks, producing risk assessment and evaluation strategies to assesses outcomes and outputs</w:t>
            </w:r>
            <w:r>
              <w:rPr>
                <w:rFonts w:cstheme="minorHAnsi"/>
                <w:i/>
              </w:rPr>
              <w:t>.</w:t>
            </w:r>
          </w:p>
        </w:tc>
        <w:tc>
          <w:tcPr>
            <w:tcW w:w="2127" w:type="dxa"/>
          </w:tcPr>
          <w:p w:rsidR="00B75C9E" w:rsidRPr="00183C99" w:rsidRDefault="00B75C9E" w:rsidP="008B7312">
            <w:pPr>
              <w:rPr>
                <w:rFonts w:cstheme="minorHAnsi"/>
              </w:rPr>
            </w:pPr>
          </w:p>
        </w:tc>
        <w:tc>
          <w:tcPr>
            <w:tcW w:w="2126" w:type="dxa"/>
          </w:tcPr>
          <w:p w:rsidR="00B75C9E" w:rsidRPr="00183C99" w:rsidRDefault="00B75C9E" w:rsidP="008B7312">
            <w:pPr>
              <w:rPr>
                <w:rFonts w:cstheme="minorHAnsi"/>
              </w:rPr>
            </w:pPr>
          </w:p>
        </w:tc>
        <w:tc>
          <w:tcPr>
            <w:tcW w:w="2410" w:type="dxa"/>
          </w:tcPr>
          <w:p w:rsidR="00B75C9E" w:rsidRPr="00183C99" w:rsidRDefault="00B75C9E" w:rsidP="008B7312">
            <w:pPr>
              <w:rPr>
                <w:rFonts w:cstheme="minorHAnsi"/>
              </w:rPr>
            </w:pPr>
          </w:p>
        </w:tc>
        <w:tc>
          <w:tcPr>
            <w:tcW w:w="992" w:type="dxa"/>
          </w:tcPr>
          <w:p w:rsidR="00B75C9E" w:rsidRPr="00183C99" w:rsidRDefault="00B75C9E" w:rsidP="008B7312">
            <w:pPr>
              <w:rPr>
                <w:rFonts w:cstheme="minorHAnsi"/>
              </w:rPr>
            </w:pPr>
          </w:p>
        </w:tc>
        <w:tc>
          <w:tcPr>
            <w:tcW w:w="3009" w:type="dxa"/>
          </w:tcPr>
          <w:p w:rsidR="00B75C9E" w:rsidRPr="00183C99" w:rsidRDefault="00B75C9E" w:rsidP="008B7312">
            <w:pPr>
              <w:rPr>
                <w:rFonts w:cstheme="minorHAnsi"/>
              </w:rPr>
            </w:pPr>
          </w:p>
        </w:tc>
      </w:tr>
      <w:tr w:rsidR="003676A9" w:rsidRPr="00183C99" w:rsidTr="008B7312">
        <w:tc>
          <w:tcPr>
            <w:tcW w:w="3510" w:type="dxa"/>
          </w:tcPr>
          <w:p w:rsidR="003676A9" w:rsidRPr="00183C99" w:rsidRDefault="003676A9" w:rsidP="008B7312">
            <w:pPr>
              <w:jc w:val="center"/>
              <w:rPr>
                <w:rFonts w:cstheme="minorHAnsi"/>
              </w:rPr>
            </w:pPr>
          </w:p>
        </w:tc>
        <w:tc>
          <w:tcPr>
            <w:tcW w:w="2127" w:type="dxa"/>
          </w:tcPr>
          <w:p w:rsidR="003676A9" w:rsidRPr="00183C99" w:rsidRDefault="003676A9" w:rsidP="008B7312">
            <w:pPr>
              <w:jc w:val="center"/>
              <w:rPr>
                <w:rFonts w:cstheme="minorHAnsi"/>
              </w:rPr>
            </w:pPr>
            <w:r w:rsidRPr="00183C99">
              <w:rPr>
                <w:rFonts w:cstheme="minorHAnsi"/>
              </w:rPr>
              <w:t>Taught</w:t>
            </w:r>
          </w:p>
        </w:tc>
        <w:tc>
          <w:tcPr>
            <w:tcW w:w="2126" w:type="dxa"/>
          </w:tcPr>
          <w:p w:rsidR="003676A9" w:rsidRPr="00183C99" w:rsidRDefault="003676A9" w:rsidP="008B7312">
            <w:pPr>
              <w:jc w:val="center"/>
              <w:rPr>
                <w:rFonts w:cstheme="minorHAnsi"/>
              </w:rPr>
            </w:pPr>
            <w:r w:rsidRPr="00183C99">
              <w:rPr>
                <w:rFonts w:cstheme="minorHAnsi"/>
              </w:rPr>
              <w:t>Practiced</w:t>
            </w:r>
          </w:p>
        </w:tc>
        <w:tc>
          <w:tcPr>
            <w:tcW w:w="2410" w:type="dxa"/>
          </w:tcPr>
          <w:p w:rsidR="003676A9" w:rsidRPr="00183C99" w:rsidRDefault="003676A9" w:rsidP="008B7312">
            <w:pPr>
              <w:jc w:val="center"/>
              <w:rPr>
                <w:rFonts w:cstheme="minorHAnsi"/>
              </w:rPr>
            </w:pPr>
            <w:r w:rsidRPr="00183C99">
              <w:rPr>
                <w:rFonts w:cstheme="minorHAnsi"/>
              </w:rPr>
              <w:t>Assessed</w:t>
            </w:r>
          </w:p>
        </w:tc>
        <w:tc>
          <w:tcPr>
            <w:tcW w:w="992" w:type="dxa"/>
          </w:tcPr>
          <w:p w:rsidR="003676A9" w:rsidRPr="00183C99" w:rsidRDefault="003676A9" w:rsidP="008B7312">
            <w:pPr>
              <w:jc w:val="center"/>
              <w:rPr>
                <w:rFonts w:cstheme="minorHAnsi"/>
              </w:rPr>
            </w:pPr>
            <w:r>
              <w:rPr>
                <w:rFonts w:cstheme="minorHAnsi"/>
              </w:rPr>
              <w:t>Score</w:t>
            </w:r>
          </w:p>
        </w:tc>
        <w:tc>
          <w:tcPr>
            <w:tcW w:w="3009" w:type="dxa"/>
          </w:tcPr>
          <w:p w:rsidR="003676A9" w:rsidRDefault="003676A9" w:rsidP="008B7312">
            <w:pPr>
              <w:jc w:val="center"/>
              <w:rPr>
                <w:rFonts w:cstheme="minorHAnsi"/>
              </w:rPr>
            </w:pPr>
            <w:r>
              <w:rPr>
                <w:rFonts w:cstheme="minorHAnsi"/>
              </w:rPr>
              <w:t>What activities could improve the score?</w:t>
            </w:r>
          </w:p>
        </w:tc>
      </w:tr>
      <w:tr w:rsidR="003676A9" w:rsidRPr="00183C99" w:rsidTr="003676A9">
        <w:trPr>
          <w:trHeight w:val="2783"/>
        </w:trPr>
        <w:tc>
          <w:tcPr>
            <w:tcW w:w="3510" w:type="dxa"/>
          </w:tcPr>
          <w:p w:rsidR="003676A9" w:rsidRPr="00183C99" w:rsidRDefault="003676A9" w:rsidP="008B7312">
            <w:pPr>
              <w:rPr>
                <w:rFonts w:cstheme="minorHAnsi"/>
                <w:b/>
              </w:rPr>
            </w:pPr>
            <w:r>
              <w:br w:type="page"/>
            </w:r>
            <w:r>
              <w:rPr>
                <w:rFonts w:cstheme="minorHAnsi"/>
                <w:b/>
              </w:rPr>
              <w:t>Research skills</w:t>
            </w:r>
          </w:p>
          <w:p w:rsidR="003676A9" w:rsidRPr="003E7ED0" w:rsidRDefault="003676A9" w:rsidP="008B7312">
            <w:pPr>
              <w:jc w:val="left"/>
              <w:rPr>
                <w:rFonts w:cstheme="minorHAnsi"/>
                <w:i/>
              </w:rPr>
            </w:pPr>
            <w:r w:rsidRPr="003E7ED0">
              <w:rPr>
                <w:rFonts w:cstheme="minorHAnsi"/>
                <w:i/>
              </w:rPr>
              <w:t>Ability to identify appropriate resources and know how to use them, and use theoretical approaches in a critical and scholarly way</w:t>
            </w:r>
            <w:r>
              <w:rPr>
                <w:rFonts w:cstheme="minorHAnsi"/>
                <w:i/>
              </w:rPr>
              <w:t>.</w:t>
            </w:r>
          </w:p>
        </w:tc>
        <w:tc>
          <w:tcPr>
            <w:tcW w:w="2127" w:type="dxa"/>
          </w:tcPr>
          <w:tbl>
            <w:tblPr>
              <w:tblW w:w="0" w:type="auto"/>
              <w:tblBorders>
                <w:top w:val="nil"/>
                <w:left w:val="nil"/>
                <w:bottom w:val="nil"/>
                <w:right w:val="nil"/>
              </w:tblBorders>
              <w:tblLook w:val="0000" w:firstRow="0" w:lastRow="0" w:firstColumn="0" w:lastColumn="0" w:noHBand="0" w:noVBand="0"/>
            </w:tblPr>
            <w:tblGrid>
              <w:gridCol w:w="222"/>
            </w:tblGrid>
            <w:tr w:rsidR="003676A9" w:rsidTr="008B7312">
              <w:trPr>
                <w:trHeight w:val="676"/>
              </w:trPr>
              <w:tc>
                <w:tcPr>
                  <w:tcW w:w="0" w:type="auto"/>
                </w:tcPr>
                <w:p w:rsidR="003676A9" w:rsidRDefault="003676A9" w:rsidP="008B7312">
                  <w:pPr>
                    <w:pStyle w:val="Default"/>
                    <w:rPr>
                      <w:sz w:val="12"/>
                      <w:szCs w:val="12"/>
                    </w:rPr>
                  </w:pPr>
                </w:p>
              </w:tc>
            </w:tr>
          </w:tbl>
          <w:p w:rsidR="003676A9" w:rsidRPr="00183C99" w:rsidRDefault="003676A9" w:rsidP="008B7312">
            <w:pPr>
              <w:rPr>
                <w:rFonts w:cstheme="minorHAnsi"/>
              </w:rPr>
            </w:pPr>
          </w:p>
        </w:tc>
        <w:tc>
          <w:tcPr>
            <w:tcW w:w="2126" w:type="dxa"/>
          </w:tcPr>
          <w:p w:rsidR="003676A9" w:rsidRPr="00183C99" w:rsidRDefault="003676A9" w:rsidP="008B7312">
            <w:pPr>
              <w:rPr>
                <w:rFonts w:cstheme="minorHAnsi"/>
              </w:rPr>
            </w:pPr>
          </w:p>
        </w:tc>
        <w:tc>
          <w:tcPr>
            <w:tcW w:w="2410" w:type="dxa"/>
          </w:tcPr>
          <w:p w:rsidR="003676A9" w:rsidRPr="00183C99" w:rsidRDefault="003676A9" w:rsidP="008B7312">
            <w:pPr>
              <w:rPr>
                <w:rFonts w:cstheme="minorHAnsi"/>
              </w:rPr>
            </w:pPr>
          </w:p>
        </w:tc>
        <w:tc>
          <w:tcPr>
            <w:tcW w:w="992" w:type="dxa"/>
          </w:tcPr>
          <w:p w:rsidR="003676A9" w:rsidRPr="00183C99" w:rsidRDefault="003676A9" w:rsidP="008B7312">
            <w:pPr>
              <w:rPr>
                <w:rFonts w:cstheme="minorHAnsi"/>
              </w:rPr>
            </w:pPr>
          </w:p>
        </w:tc>
        <w:tc>
          <w:tcPr>
            <w:tcW w:w="3009" w:type="dxa"/>
          </w:tcPr>
          <w:p w:rsidR="003676A9" w:rsidRPr="00183C99" w:rsidRDefault="003676A9" w:rsidP="008B7312">
            <w:pPr>
              <w:rPr>
                <w:rFonts w:cstheme="minorHAnsi"/>
              </w:rPr>
            </w:pPr>
          </w:p>
        </w:tc>
      </w:tr>
      <w:tr w:rsidR="003676A9" w:rsidRPr="00183C99" w:rsidTr="003676A9">
        <w:trPr>
          <w:trHeight w:val="2783"/>
        </w:trPr>
        <w:tc>
          <w:tcPr>
            <w:tcW w:w="3510" w:type="dxa"/>
          </w:tcPr>
          <w:p w:rsidR="003676A9" w:rsidRPr="00183C99" w:rsidRDefault="003676A9" w:rsidP="008B7312">
            <w:pPr>
              <w:rPr>
                <w:rFonts w:cstheme="minorHAnsi"/>
              </w:rPr>
            </w:pPr>
            <w:r>
              <w:rPr>
                <w:rFonts w:cstheme="minorHAnsi"/>
                <w:b/>
              </w:rPr>
              <w:t>Self-management</w:t>
            </w:r>
          </w:p>
          <w:p w:rsidR="003676A9" w:rsidRPr="00183C99" w:rsidRDefault="003676A9" w:rsidP="008B7312">
            <w:pPr>
              <w:jc w:val="left"/>
              <w:rPr>
                <w:rFonts w:cstheme="minorHAnsi"/>
              </w:rPr>
            </w:pPr>
            <w:r>
              <w:rPr>
                <w:rFonts w:cstheme="minorHAnsi"/>
                <w:i/>
              </w:rPr>
              <w:t>Readiness to accept responsibility and improve one’s own performance based on feedback and reflective learning. It also refers to an individual’s ability to be flexible, resilient, be a self-starter, have an appropriate degree of assertiveness, and manage their time effectively.</w:t>
            </w:r>
          </w:p>
        </w:tc>
        <w:tc>
          <w:tcPr>
            <w:tcW w:w="2127" w:type="dxa"/>
          </w:tcPr>
          <w:p w:rsidR="003676A9" w:rsidRPr="00183C99" w:rsidRDefault="003676A9" w:rsidP="008B7312">
            <w:pPr>
              <w:rPr>
                <w:rFonts w:cstheme="minorHAnsi"/>
              </w:rPr>
            </w:pPr>
          </w:p>
        </w:tc>
        <w:tc>
          <w:tcPr>
            <w:tcW w:w="2126" w:type="dxa"/>
          </w:tcPr>
          <w:p w:rsidR="003676A9" w:rsidRPr="00183C99" w:rsidRDefault="003676A9" w:rsidP="008B7312">
            <w:pPr>
              <w:rPr>
                <w:rFonts w:cstheme="minorHAnsi"/>
              </w:rPr>
            </w:pPr>
          </w:p>
        </w:tc>
        <w:tc>
          <w:tcPr>
            <w:tcW w:w="2410" w:type="dxa"/>
          </w:tcPr>
          <w:p w:rsidR="003676A9" w:rsidRPr="00183C99" w:rsidRDefault="003676A9" w:rsidP="008B7312">
            <w:pPr>
              <w:rPr>
                <w:rFonts w:cstheme="minorHAnsi"/>
              </w:rPr>
            </w:pPr>
          </w:p>
        </w:tc>
        <w:tc>
          <w:tcPr>
            <w:tcW w:w="992" w:type="dxa"/>
          </w:tcPr>
          <w:p w:rsidR="003676A9" w:rsidRPr="00183C99" w:rsidRDefault="003676A9" w:rsidP="008B7312">
            <w:pPr>
              <w:rPr>
                <w:rFonts w:cstheme="minorHAnsi"/>
              </w:rPr>
            </w:pPr>
          </w:p>
        </w:tc>
        <w:tc>
          <w:tcPr>
            <w:tcW w:w="3009" w:type="dxa"/>
          </w:tcPr>
          <w:p w:rsidR="003676A9" w:rsidRPr="00183C99" w:rsidRDefault="003676A9" w:rsidP="008B7312">
            <w:pPr>
              <w:rPr>
                <w:rFonts w:cstheme="minorHAnsi"/>
              </w:rPr>
            </w:pPr>
          </w:p>
        </w:tc>
      </w:tr>
      <w:tr w:rsidR="003676A9" w:rsidRPr="00183C99" w:rsidTr="003676A9">
        <w:trPr>
          <w:trHeight w:val="2783"/>
        </w:trPr>
        <w:tc>
          <w:tcPr>
            <w:tcW w:w="3510" w:type="dxa"/>
          </w:tcPr>
          <w:p w:rsidR="003676A9" w:rsidRPr="00183C99" w:rsidRDefault="003676A9" w:rsidP="008B7312">
            <w:pPr>
              <w:rPr>
                <w:rFonts w:cstheme="minorHAnsi"/>
                <w:b/>
              </w:rPr>
            </w:pPr>
            <w:r>
              <w:rPr>
                <w:rFonts w:cstheme="minorHAnsi"/>
                <w:b/>
              </w:rPr>
              <w:t>Commercial awareness</w:t>
            </w:r>
          </w:p>
          <w:p w:rsidR="003676A9" w:rsidRPr="00183C99" w:rsidRDefault="003676A9" w:rsidP="008B7312">
            <w:pPr>
              <w:jc w:val="left"/>
              <w:rPr>
                <w:rFonts w:cstheme="minorHAnsi"/>
              </w:rPr>
            </w:pPr>
            <w:r>
              <w:rPr>
                <w:rFonts w:cstheme="minorHAnsi"/>
                <w:i/>
              </w:rPr>
              <w:t xml:space="preserve">Ability to understand the key factors influencing businesses, including the importance of customer satisfaction and loyalty. </w:t>
            </w:r>
          </w:p>
        </w:tc>
        <w:tc>
          <w:tcPr>
            <w:tcW w:w="2127" w:type="dxa"/>
          </w:tcPr>
          <w:p w:rsidR="003676A9" w:rsidRPr="00183C99" w:rsidRDefault="003676A9" w:rsidP="008B7312">
            <w:pPr>
              <w:rPr>
                <w:rFonts w:cstheme="minorHAnsi"/>
              </w:rPr>
            </w:pPr>
          </w:p>
        </w:tc>
        <w:tc>
          <w:tcPr>
            <w:tcW w:w="2126" w:type="dxa"/>
          </w:tcPr>
          <w:p w:rsidR="003676A9" w:rsidRPr="00183C99" w:rsidRDefault="003676A9" w:rsidP="008B7312">
            <w:pPr>
              <w:rPr>
                <w:rFonts w:cstheme="minorHAnsi"/>
              </w:rPr>
            </w:pPr>
          </w:p>
        </w:tc>
        <w:tc>
          <w:tcPr>
            <w:tcW w:w="2410" w:type="dxa"/>
          </w:tcPr>
          <w:p w:rsidR="003676A9" w:rsidRPr="00183C99" w:rsidRDefault="003676A9" w:rsidP="008B7312">
            <w:pPr>
              <w:rPr>
                <w:rFonts w:cstheme="minorHAnsi"/>
              </w:rPr>
            </w:pPr>
          </w:p>
        </w:tc>
        <w:tc>
          <w:tcPr>
            <w:tcW w:w="992" w:type="dxa"/>
          </w:tcPr>
          <w:p w:rsidR="003676A9" w:rsidRPr="00183C99" w:rsidRDefault="003676A9" w:rsidP="008B7312">
            <w:pPr>
              <w:rPr>
                <w:rFonts w:cstheme="minorHAnsi"/>
              </w:rPr>
            </w:pPr>
          </w:p>
        </w:tc>
        <w:tc>
          <w:tcPr>
            <w:tcW w:w="3009" w:type="dxa"/>
          </w:tcPr>
          <w:p w:rsidR="003676A9" w:rsidRPr="00183C99" w:rsidRDefault="003676A9" w:rsidP="008B7312">
            <w:pPr>
              <w:rPr>
                <w:rFonts w:cstheme="minorHAnsi"/>
              </w:rPr>
            </w:pPr>
          </w:p>
        </w:tc>
      </w:tr>
      <w:tr w:rsidR="003371C4" w:rsidRPr="00183C99" w:rsidTr="008B7312">
        <w:tc>
          <w:tcPr>
            <w:tcW w:w="3510" w:type="dxa"/>
          </w:tcPr>
          <w:p w:rsidR="003371C4" w:rsidRPr="00183C99" w:rsidRDefault="003371C4" w:rsidP="008B7312">
            <w:pPr>
              <w:jc w:val="center"/>
              <w:rPr>
                <w:rFonts w:cstheme="minorHAnsi"/>
              </w:rPr>
            </w:pPr>
          </w:p>
        </w:tc>
        <w:tc>
          <w:tcPr>
            <w:tcW w:w="2127" w:type="dxa"/>
          </w:tcPr>
          <w:p w:rsidR="003371C4" w:rsidRPr="00183C99" w:rsidRDefault="003371C4" w:rsidP="008B7312">
            <w:pPr>
              <w:jc w:val="center"/>
              <w:rPr>
                <w:rFonts w:cstheme="minorHAnsi"/>
              </w:rPr>
            </w:pPr>
            <w:r w:rsidRPr="00183C99">
              <w:rPr>
                <w:rFonts w:cstheme="minorHAnsi"/>
              </w:rPr>
              <w:t>Taught</w:t>
            </w:r>
          </w:p>
        </w:tc>
        <w:tc>
          <w:tcPr>
            <w:tcW w:w="2126" w:type="dxa"/>
          </w:tcPr>
          <w:p w:rsidR="003371C4" w:rsidRPr="00183C99" w:rsidRDefault="003371C4" w:rsidP="008B7312">
            <w:pPr>
              <w:jc w:val="center"/>
              <w:rPr>
                <w:rFonts w:cstheme="minorHAnsi"/>
              </w:rPr>
            </w:pPr>
            <w:r w:rsidRPr="00183C99">
              <w:rPr>
                <w:rFonts w:cstheme="minorHAnsi"/>
              </w:rPr>
              <w:t>Practiced</w:t>
            </w:r>
          </w:p>
        </w:tc>
        <w:tc>
          <w:tcPr>
            <w:tcW w:w="2410" w:type="dxa"/>
          </w:tcPr>
          <w:p w:rsidR="003371C4" w:rsidRPr="00183C99" w:rsidRDefault="003371C4" w:rsidP="008B7312">
            <w:pPr>
              <w:jc w:val="center"/>
              <w:rPr>
                <w:rFonts w:cstheme="minorHAnsi"/>
              </w:rPr>
            </w:pPr>
            <w:r w:rsidRPr="00183C99">
              <w:rPr>
                <w:rFonts w:cstheme="minorHAnsi"/>
              </w:rPr>
              <w:t>Assessed</w:t>
            </w:r>
          </w:p>
        </w:tc>
        <w:tc>
          <w:tcPr>
            <w:tcW w:w="992" w:type="dxa"/>
          </w:tcPr>
          <w:p w:rsidR="003371C4" w:rsidRPr="00183C99" w:rsidRDefault="003371C4" w:rsidP="008B7312">
            <w:pPr>
              <w:jc w:val="center"/>
              <w:rPr>
                <w:rFonts w:cstheme="minorHAnsi"/>
              </w:rPr>
            </w:pPr>
            <w:r>
              <w:rPr>
                <w:rFonts w:cstheme="minorHAnsi"/>
              </w:rPr>
              <w:t>Score</w:t>
            </w:r>
          </w:p>
        </w:tc>
        <w:tc>
          <w:tcPr>
            <w:tcW w:w="3009" w:type="dxa"/>
          </w:tcPr>
          <w:p w:rsidR="003371C4" w:rsidRDefault="003371C4" w:rsidP="008B7312">
            <w:pPr>
              <w:jc w:val="center"/>
              <w:rPr>
                <w:rFonts w:cstheme="minorHAnsi"/>
              </w:rPr>
            </w:pPr>
            <w:r>
              <w:rPr>
                <w:rFonts w:cstheme="minorHAnsi"/>
              </w:rPr>
              <w:t>What activities could improve the score?</w:t>
            </w:r>
          </w:p>
        </w:tc>
      </w:tr>
      <w:tr w:rsidR="003676A9" w:rsidRPr="00183C99" w:rsidTr="003371C4">
        <w:trPr>
          <w:trHeight w:val="1430"/>
        </w:trPr>
        <w:tc>
          <w:tcPr>
            <w:tcW w:w="3510" w:type="dxa"/>
          </w:tcPr>
          <w:p w:rsidR="003676A9" w:rsidRPr="00183C99" w:rsidRDefault="003676A9" w:rsidP="008B7312">
            <w:pPr>
              <w:rPr>
                <w:rFonts w:cstheme="minorHAnsi"/>
                <w:b/>
              </w:rPr>
            </w:pPr>
            <w:r>
              <w:rPr>
                <w:rFonts w:cstheme="minorHAnsi"/>
                <w:b/>
              </w:rPr>
              <w:t>Creative t</w:t>
            </w:r>
            <w:r w:rsidRPr="00183C99">
              <w:rPr>
                <w:rFonts w:cstheme="minorHAnsi"/>
                <w:b/>
              </w:rPr>
              <w:t>hinking</w:t>
            </w:r>
          </w:p>
          <w:p w:rsidR="003676A9" w:rsidRPr="0070194E" w:rsidRDefault="003676A9" w:rsidP="008B7312">
            <w:pPr>
              <w:jc w:val="left"/>
              <w:rPr>
                <w:rFonts w:cstheme="minorHAnsi"/>
                <w:i/>
              </w:rPr>
            </w:pPr>
            <w:r w:rsidRPr="0070194E">
              <w:rPr>
                <w:rFonts w:cstheme="minorHAnsi"/>
                <w:i/>
              </w:rPr>
              <w:t>Ability to generate imaginative ideas</w:t>
            </w:r>
            <w:r>
              <w:rPr>
                <w:rFonts w:cstheme="minorHAnsi"/>
                <w:i/>
              </w:rPr>
              <w:t>.</w:t>
            </w:r>
          </w:p>
        </w:tc>
        <w:tc>
          <w:tcPr>
            <w:tcW w:w="2127" w:type="dxa"/>
          </w:tcPr>
          <w:p w:rsidR="003676A9" w:rsidRPr="00183C99" w:rsidRDefault="003676A9" w:rsidP="008B7312">
            <w:pPr>
              <w:rPr>
                <w:rFonts w:cstheme="minorHAnsi"/>
              </w:rPr>
            </w:pPr>
          </w:p>
        </w:tc>
        <w:tc>
          <w:tcPr>
            <w:tcW w:w="2126" w:type="dxa"/>
          </w:tcPr>
          <w:p w:rsidR="003676A9" w:rsidRPr="00183C99" w:rsidRDefault="003676A9" w:rsidP="008B7312">
            <w:pPr>
              <w:rPr>
                <w:rFonts w:cstheme="minorHAnsi"/>
              </w:rPr>
            </w:pPr>
          </w:p>
        </w:tc>
        <w:tc>
          <w:tcPr>
            <w:tcW w:w="2410" w:type="dxa"/>
          </w:tcPr>
          <w:p w:rsidR="003676A9" w:rsidRPr="00183C99" w:rsidRDefault="003676A9" w:rsidP="008B7312">
            <w:pPr>
              <w:rPr>
                <w:rFonts w:cstheme="minorHAnsi"/>
              </w:rPr>
            </w:pPr>
          </w:p>
        </w:tc>
        <w:tc>
          <w:tcPr>
            <w:tcW w:w="992" w:type="dxa"/>
          </w:tcPr>
          <w:p w:rsidR="003676A9" w:rsidRPr="00183C99" w:rsidRDefault="003676A9" w:rsidP="008B7312">
            <w:pPr>
              <w:rPr>
                <w:rFonts w:cstheme="minorHAnsi"/>
              </w:rPr>
            </w:pPr>
          </w:p>
        </w:tc>
        <w:tc>
          <w:tcPr>
            <w:tcW w:w="3009" w:type="dxa"/>
          </w:tcPr>
          <w:p w:rsidR="003676A9" w:rsidRPr="00183C99" w:rsidRDefault="003676A9" w:rsidP="008B7312">
            <w:pPr>
              <w:rPr>
                <w:rFonts w:cstheme="minorHAnsi"/>
              </w:rPr>
            </w:pPr>
          </w:p>
        </w:tc>
      </w:tr>
      <w:tr w:rsidR="003676A9" w:rsidRPr="00183C99" w:rsidTr="003371C4">
        <w:trPr>
          <w:trHeight w:val="1548"/>
        </w:trPr>
        <w:tc>
          <w:tcPr>
            <w:tcW w:w="3510" w:type="dxa"/>
          </w:tcPr>
          <w:p w:rsidR="003676A9" w:rsidRDefault="003676A9" w:rsidP="008B7312">
            <w:pPr>
              <w:rPr>
                <w:rFonts w:cstheme="minorHAnsi"/>
                <w:b/>
              </w:rPr>
            </w:pPr>
            <w:r>
              <w:rPr>
                <w:rFonts w:cstheme="minorHAnsi"/>
                <w:b/>
              </w:rPr>
              <w:t>Positive attitude to work</w:t>
            </w:r>
          </w:p>
          <w:p w:rsidR="003676A9" w:rsidRPr="00BE2164" w:rsidRDefault="003676A9" w:rsidP="008B7312">
            <w:pPr>
              <w:jc w:val="left"/>
              <w:rPr>
                <w:rFonts w:cstheme="minorHAnsi"/>
                <w:i/>
              </w:rPr>
            </w:pPr>
            <w:r>
              <w:rPr>
                <w:rFonts w:cstheme="minorHAnsi"/>
                <w:i/>
              </w:rPr>
              <w:t>Readiness to take part in new activities and a desire to achieve results.</w:t>
            </w:r>
          </w:p>
        </w:tc>
        <w:tc>
          <w:tcPr>
            <w:tcW w:w="2127" w:type="dxa"/>
          </w:tcPr>
          <w:p w:rsidR="003676A9" w:rsidRPr="00183C99" w:rsidRDefault="003676A9" w:rsidP="008B7312">
            <w:pPr>
              <w:rPr>
                <w:rFonts w:cstheme="minorHAnsi"/>
              </w:rPr>
            </w:pPr>
          </w:p>
        </w:tc>
        <w:tc>
          <w:tcPr>
            <w:tcW w:w="2126" w:type="dxa"/>
          </w:tcPr>
          <w:p w:rsidR="003676A9" w:rsidRPr="00183C99" w:rsidRDefault="003676A9" w:rsidP="008B7312">
            <w:pPr>
              <w:rPr>
                <w:rFonts w:cstheme="minorHAnsi"/>
              </w:rPr>
            </w:pPr>
          </w:p>
        </w:tc>
        <w:tc>
          <w:tcPr>
            <w:tcW w:w="2410" w:type="dxa"/>
          </w:tcPr>
          <w:p w:rsidR="003676A9" w:rsidRPr="00183C99" w:rsidRDefault="003676A9" w:rsidP="008B7312">
            <w:pPr>
              <w:rPr>
                <w:rFonts w:cstheme="minorHAnsi"/>
              </w:rPr>
            </w:pPr>
          </w:p>
        </w:tc>
        <w:tc>
          <w:tcPr>
            <w:tcW w:w="992" w:type="dxa"/>
          </w:tcPr>
          <w:p w:rsidR="003676A9" w:rsidRPr="00183C99" w:rsidRDefault="003676A9" w:rsidP="008B7312">
            <w:pPr>
              <w:rPr>
                <w:rFonts w:cstheme="minorHAnsi"/>
              </w:rPr>
            </w:pPr>
          </w:p>
        </w:tc>
        <w:tc>
          <w:tcPr>
            <w:tcW w:w="3009" w:type="dxa"/>
          </w:tcPr>
          <w:p w:rsidR="003676A9" w:rsidRPr="00183C99" w:rsidRDefault="003676A9" w:rsidP="008B7312">
            <w:pPr>
              <w:rPr>
                <w:rFonts w:cstheme="minorHAnsi"/>
              </w:rPr>
            </w:pPr>
          </w:p>
        </w:tc>
      </w:tr>
      <w:tr w:rsidR="003676A9" w:rsidRPr="00183C99" w:rsidTr="003371C4">
        <w:trPr>
          <w:trHeight w:val="1840"/>
        </w:trPr>
        <w:tc>
          <w:tcPr>
            <w:tcW w:w="3510" w:type="dxa"/>
          </w:tcPr>
          <w:p w:rsidR="003676A9" w:rsidRDefault="003676A9" w:rsidP="008B7312">
            <w:pPr>
              <w:rPr>
                <w:rFonts w:cstheme="minorHAnsi"/>
                <w:b/>
              </w:rPr>
            </w:pPr>
            <w:r w:rsidRPr="0070194E">
              <w:rPr>
                <w:rFonts w:cstheme="minorHAnsi"/>
                <w:b/>
              </w:rPr>
              <w:t xml:space="preserve">IT </w:t>
            </w:r>
            <w:r>
              <w:rPr>
                <w:rFonts w:cstheme="minorHAnsi"/>
                <w:b/>
              </w:rPr>
              <w:t xml:space="preserve">skills </w:t>
            </w:r>
          </w:p>
          <w:p w:rsidR="003676A9" w:rsidRPr="0070194E" w:rsidRDefault="003676A9" w:rsidP="008B7312">
            <w:pPr>
              <w:jc w:val="left"/>
              <w:rPr>
                <w:rFonts w:cstheme="minorHAnsi"/>
                <w:i/>
              </w:rPr>
            </w:pPr>
            <w:r w:rsidRPr="00BE2164">
              <w:rPr>
                <w:rFonts w:cstheme="minorHAnsi"/>
                <w:i/>
              </w:rPr>
              <w:t>Ability to utilise particular programmes</w:t>
            </w:r>
            <w:r>
              <w:rPr>
                <w:rFonts w:cstheme="minorHAnsi"/>
                <w:i/>
              </w:rPr>
              <w:t>.</w:t>
            </w:r>
          </w:p>
        </w:tc>
        <w:tc>
          <w:tcPr>
            <w:tcW w:w="2127" w:type="dxa"/>
          </w:tcPr>
          <w:p w:rsidR="003676A9" w:rsidRPr="00183C99" w:rsidRDefault="003676A9" w:rsidP="008B7312">
            <w:pPr>
              <w:rPr>
                <w:rFonts w:cstheme="minorHAnsi"/>
              </w:rPr>
            </w:pPr>
          </w:p>
        </w:tc>
        <w:tc>
          <w:tcPr>
            <w:tcW w:w="2126" w:type="dxa"/>
          </w:tcPr>
          <w:p w:rsidR="003676A9" w:rsidRPr="00183C99" w:rsidRDefault="003676A9" w:rsidP="008B7312">
            <w:pPr>
              <w:rPr>
                <w:rFonts w:cstheme="minorHAnsi"/>
              </w:rPr>
            </w:pPr>
          </w:p>
        </w:tc>
        <w:tc>
          <w:tcPr>
            <w:tcW w:w="2410" w:type="dxa"/>
          </w:tcPr>
          <w:p w:rsidR="003676A9" w:rsidRPr="00183C99" w:rsidRDefault="003676A9" w:rsidP="008B7312">
            <w:pPr>
              <w:rPr>
                <w:rFonts w:cstheme="minorHAnsi"/>
              </w:rPr>
            </w:pPr>
          </w:p>
        </w:tc>
        <w:tc>
          <w:tcPr>
            <w:tcW w:w="992" w:type="dxa"/>
          </w:tcPr>
          <w:p w:rsidR="003676A9" w:rsidRPr="00183C99" w:rsidRDefault="003676A9" w:rsidP="008B7312">
            <w:pPr>
              <w:rPr>
                <w:rFonts w:cstheme="minorHAnsi"/>
              </w:rPr>
            </w:pPr>
          </w:p>
        </w:tc>
        <w:tc>
          <w:tcPr>
            <w:tcW w:w="3009" w:type="dxa"/>
          </w:tcPr>
          <w:p w:rsidR="003676A9" w:rsidRPr="00183C99" w:rsidRDefault="003676A9" w:rsidP="008B7312">
            <w:pPr>
              <w:rPr>
                <w:rFonts w:cstheme="minorHAnsi"/>
              </w:rPr>
            </w:pPr>
          </w:p>
        </w:tc>
      </w:tr>
      <w:tr w:rsidR="003676A9" w:rsidRPr="00183C99" w:rsidTr="003371C4">
        <w:trPr>
          <w:trHeight w:val="3251"/>
        </w:trPr>
        <w:tc>
          <w:tcPr>
            <w:tcW w:w="3510" w:type="dxa"/>
          </w:tcPr>
          <w:p w:rsidR="003676A9" w:rsidRDefault="003676A9" w:rsidP="008B7312">
            <w:pPr>
              <w:rPr>
                <w:rFonts w:cstheme="minorHAnsi"/>
              </w:rPr>
            </w:pPr>
            <w:r>
              <w:rPr>
                <w:rFonts w:cstheme="minorHAnsi"/>
                <w:b/>
              </w:rPr>
              <w:t>Career management s</w:t>
            </w:r>
            <w:r w:rsidRPr="000B6884">
              <w:rPr>
                <w:rFonts w:cstheme="minorHAnsi"/>
                <w:b/>
              </w:rPr>
              <w:t>kills</w:t>
            </w:r>
            <w:r w:rsidRPr="000B6884">
              <w:rPr>
                <w:rFonts w:cstheme="minorHAnsi"/>
              </w:rPr>
              <w:t xml:space="preserve"> </w:t>
            </w:r>
          </w:p>
          <w:p w:rsidR="003676A9" w:rsidRPr="00CE32C5" w:rsidRDefault="003676A9" w:rsidP="008B7312">
            <w:pPr>
              <w:jc w:val="left"/>
              <w:rPr>
                <w:rFonts w:cstheme="minorHAnsi"/>
                <w:i/>
              </w:rPr>
            </w:pPr>
            <w:r w:rsidRPr="00CE32C5">
              <w:rPr>
                <w:rFonts w:cstheme="minorHAnsi"/>
                <w:i/>
              </w:rPr>
              <w:t>Ability to articulate and give evidence based examples of times when the above skills have been developed. This is a particular concern during tasks such as CV writing, attending job interviews and completing job applications.</w:t>
            </w:r>
            <w:r>
              <w:rPr>
                <w:rFonts w:cstheme="minorHAnsi"/>
                <w:i/>
              </w:rPr>
              <w:t xml:space="preserve"> K</w:t>
            </w:r>
            <w:r w:rsidRPr="00CE32C5">
              <w:rPr>
                <w:rFonts w:cstheme="minorHAnsi"/>
                <w:i/>
              </w:rPr>
              <w:t xml:space="preserve">nowledge about graduate employment options and understanding the current labour market </w:t>
            </w:r>
            <w:r>
              <w:rPr>
                <w:rFonts w:cstheme="minorHAnsi"/>
                <w:i/>
              </w:rPr>
              <w:t>are</w:t>
            </w:r>
            <w:r w:rsidRPr="00CE32C5">
              <w:rPr>
                <w:rFonts w:cstheme="minorHAnsi"/>
                <w:i/>
              </w:rPr>
              <w:t xml:space="preserve"> equally important.</w:t>
            </w:r>
          </w:p>
        </w:tc>
        <w:tc>
          <w:tcPr>
            <w:tcW w:w="2127" w:type="dxa"/>
          </w:tcPr>
          <w:p w:rsidR="003676A9" w:rsidRDefault="003676A9" w:rsidP="008B7312">
            <w:pPr>
              <w:pStyle w:val="Default"/>
              <w:rPr>
                <w:sz w:val="12"/>
                <w:szCs w:val="12"/>
              </w:rPr>
            </w:pPr>
          </w:p>
        </w:tc>
        <w:tc>
          <w:tcPr>
            <w:tcW w:w="2126" w:type="dxa"/>
          </w:tcPr>
          <w:p w:rsidR="003676A9" w:rsidRPr="00183C99" w:rsidRDefault="003676A9" w:rsidP="008B7312">
            <w:pPr>
              <w:rPr>
                <w:rFonts w:cstheme="minorHAnsi"/>
              </w:rPr>
            </w:pPr>
          </w:p>
        </w:tc>
        <w:tc>
          <w:tcPr>
            <w:tcW w:w="2410" w:type="dxa"/>
          </w:tcPr>
          <w:p w:rsidR="003676A9" w:rsidRPr="00183C99" w:rsidRDefault="003676A9" w:rsidP="008B7312">
            <w:pPr>
              <w:rPr>
                <w:rFonts w:cstheme="minorHAnsi"/>
              </w:rPr>
            </w:pPr>
          </w:p>
        </w:tc>
        <w:tc>
          <w:tcPr>
            <w:tcW w:w="992" w:type="dxa"/>
          </w:tcPr>
          <w:p w:rsidR="003676A9" w:rsidRPr="00183C99" w:rsidRDefault="003676A9" w:rsidP="008B7312">
            <w:pPr>
              <w:rPr>
                <w:rFonts w:cstheme="minorHAnsi"/>
              </w:rPr>
            </w:pPr>
          </w:p>
        </w:tc>
        <w:tc>
          <w:tcPr>
            <w:tcW w:w="3009" w:type="dxa"/>
          </w:tcPr>
          <w:p w:rsidR="003676A9" w:rsidRPr="00183C99" w:rsidRDefault="003676A9" w:rsidP="008B7312">
            <w:pPr>
              <w:rPr>
                <w:rFonts w:cstheme="minorHAnsi"/>
              </w:rPr>
            </w:pPr>
          </w:p>
        </w:tc>
      </w:tr>
    </w:tbl>
    <w:p w:rsidR="00B75C9E" w:rsidRPr="005B738A" w:rsidRDefault="00B75C9E" w:rsidP="005B738A">
      <w:pPr>
        <w:rPr>
          <w:rStyle w:val="Emphasis"/>
          <w:i w:val="0"/>
        </w:rPr>
      </w:pPr>
    </w:p>
    <w:sectPr w:rsidR="00B75C9E" w:rsidRPr="005B738A" w:rsidSect="005649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66" w:rsidRDefault="004E7F66" w:rsidP="00B12216">
      <w:pPr>
        <w:spacing w:after="0" w:line="240" w:lineRule="auto"/>
      </w:pPr>
      <w:r>
        <w:separator/>
      </w:r>
    </w:p>
  </w:endnote>
  <w:endnote w:type="continuationSeparator" w:id="0">
    <w:p w:rsidR="004E7F66" w:rsidRDefault="004E7F66" w:rsidP="00B1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66" w:rsidRDefault="004E7F66" w:rsidP="00B12216">
      <w:pPr>
        <w:spacing w:after="0" w:line="240" w:lineRule="auto"/>
      </w:pPr>
      <w:r>
        <w:separator/>
      </w:r>
    </w:p>
  </w:footnote>
  <w:footnote w:type="continuationSeparator" w:id="0">
    <w:p w:rsidR="004E7F66" w:rsidRDefault="004E7F66" w:rsidP="00B12216">
      <w:pPr>
        <w:spacing w:after="0" w:line="240" w:lineRule="auto"/>
      </w:pPr>
      <w:r>
        <w:continuationSeparator/>
      </w:r>
    </w:p>
  </w:footnote>
  <w:footnote w:id="1">
    <w:p w:rsidR="00852EB6" w:rsidRPr="00852EB6" w:rsidRDefault="00852EB6">
      <w:pPr>
        <w:pStyle w:val="FootnoteText"/>
      </w:pPr>
      <w:r>
        <w:rPr>
          <w:rStyle w:val="FootnoteReference"/>
        </w:rPr>
        <w:footnoteRef/>
      </w:r>
      <w:r>
        <w:t xml:space="preserve"> Geoff Smith &amp; Leigh Wood (2000), “Assessment of learning in university mathematics”, </w:t>
      </w:r>
      <w:r>
        <w:rPr>
          <w:i/>
        </w:rPr>
        <w:t>International Journal of Mathematical Education in Science and Technology</w:t>
      </w:r>
      <w:r>
        <w:t>, 31(1):125-132.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16" w:rsidRDefault="00B12216" w:rsidP="00B12216">
    <w:pPr>
      <w:pStyle w:val="Header"/>
      <w:jc w:val="center"/>
    </w:pPr>
    <w:r>
      <w:rPr>
        <w:noProof/>
      </w:rPr>
      <w:drawing>
        <wp:anchor distT="0" distB="0" distL="114300" distR="114300" simplePos="0" relativeHeight="251660288" behindDoc="0" locked="0" layoutInCell="1" allowOverlap="1">
          <wp:simplePos x="0" y="0"/>
          <wp:positionH relativeFrom="column">
            <wp:posOffset>4225289</wp:posOffset>
          </wp:positionH>
          <wp:positionV relativeFrom="paragraph">
            <wp:posOffset>-318951</wp:posOffset>
          </wp:positionV>
          <wp:extent cx="1483179" cy="718457"/>
          <wp:effectExtent l="19050" t="0" r="2721" b="0"/>
          <wp:wrapNone/>
          <wp:docPr id="3" name="Picture 3" descr="Bath_logo_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h_logo_slate"/>
                  <pic:cNvPicPr>
                    <a:picLocks noChangeAspect="1" noChangeArrowheads="1"/>
                  </pic:cNvPicPr>
                </pic:nvPicPr>
                <pic:blipFill>
                  <a:blip r:embed="rId1"/>
                  <a:srcRect/>
                  <a:stretch>
                    <a:fillRect/>
                  </a:stretch>
                </pic:blipFill>
                <pic:spPr bwMode="auto">
                  <a:xfrm>
                    <a:off x="0" y="0"/>
                    <a:ext cx="1483179" cy="718457"/>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margin">
            <wp:posOffset>57785</wp:posOffset>
          </wp:positionH>
          <wp:positionV relativeFrom="margin">
            <wp:posOffset>-614045</wp:posOffset>
          </wp:positionV>
          <wp:extent cx="1251585" cy="548640"/>
          <wp:effectExtent l="19050" t="0" r="5715" b="0"/>
          <wp:wrapSquare wrapText="bothSides"/>
          <wp:docPr id="2" name="Picture 1" descr="Uof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fE_colour"/>
                  <pic:cNvPicPr>
                    <a:picLocks noChangeAspect="1" noChangeArrowheads="1"/>
                  </pic:cNvPicPr>
                </pic:nvPicPr>
                <pic:blipFill>
                  <a:blip r:embed="rId2"/>
                  <a:srcRect/>
                  <a:stretch>
                    <a:fillRect/>
                  </a:stretch>
                </pic:blipFill>
                <pic:spPr bwMode="auto">
                  <a:xfrm>
                    <a:off x="0" y="0"/>
                    <a:ext cx="1251585" cy="54864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margin">
            <wp:posOffset>1978025</wp:posOffset>
          </wp:positionH>
          <wp:positionV relativeFrom="margin">
            <wp:posOffset>-731520</wp:posOffset>
          </wp:positionV>
          <wp:extent cx="1600200" cy="587375"/>
          <wp:effectExtent l="19050" t="0" r="0" b="0"/>
          <wp:wrapSquare wrapText="bothSides"/>
          <wp:docPr id="1" name="Picture 1" descr="Generic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Black.jpg"/>
                  <pic:cNvPicPr>
                    <a:picLocks noChangeAspect="1" noChangeArrowheads="1"/>
                  </pic:cNvPicPr>
                </pic:nvPicPr>
                <pic:blipFill>
                  <a:blip r:embed="rId3"/>
                  <a:srcRect/>
                  <a:stretch>
                    <a:fillRect/>
                  </a:stretch>
                </pic:blipFill>
                <pic:spPr bwMode="auto">
                  <a:xfrm>
                    <a:off x="0" y="0"/>
                    <a:ext cx="1600200" cy="5873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7BBD"/>
    <w:multiLevelType w:val="hybridMultilevel"/>
    <w:tmpl w:val="2F08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871EA"/>
    <w:multiLevelType w:val="hybridMultilevel"/>
    <w:tmpl w:val="9DB8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8D4C09"/>
    <w:multiLevelType w:val="hybridMultilevel"/>
    <w:tmpl w:val="6184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0E7400"/>
    <w:multiLevelType w:val="hybridMultilevel"/>
    <w:tmpl w:val="C81C83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EC778A3"/>
    <w:multiLevelType w:val="hybridMultilevel"/>
    <w:tmpl w:val="B4628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4873B1"/>
    <w:multiLevelType w:val="hybridMultilevel"/>
    <w:tmpl w:val="2FEE0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B941BB"/>
    <w:multiLevelType w:val="hybridMultilevel"/>
    <w:tmpl w:val="4A9A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3A4C5A"/>
    <w:multiLevelType w:val="hybridMultilevel"/>
    <w:tmpl w:val="1ADA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3678F6"/>
    <w:multiLevelType w:val="hybridMultilevel"/>
    <w:tmpl w:val="7FB4A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0EA026F"/>
    <w:multiLevelType w:val="hybridMultilevel"/>
    <w:tmpl w:val="F1E6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0"/>
  </w:num>
  <w:num w:numId="6">
    <w:abstractNumId w:val="6"/>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16"/>
    <w:rsid w:val="0000665D"/>
    <w:rsid w:val="00013679"/>
    <w:rsid w:val="000342DF"/>
    <w:rsid w:val="000658D9"/>
    <w:rsid w:val="00071430"/>
    <w:rsid w:val="000866B5"/>
    <w:rsid w:val="00090EC2"/>
    <w:rsid w:val="000F093D"/>
    <w:rsid w:val="00102B5B"/>
    <w:rsid w:val="00122E4A"/>
    <w:rsid w:val="001234CB"/>
    <w:rsid w:val="00124BC0"/>
    <w:rsid w:val="00185133"/>
    <w:rsid w:val="00195EC2"/>
    <w:rsid w:val="00197EFD"/>
    <w:rsid w:val="001A5CD0"/>
    <w:rsid w:val="001E5DCE"/>
    <w:rsid w:val="002338A0"/>
    <w:rsid w:val="002961A9"/>
    <w:rsid w:val="002A242F"/>
    <w:rsid w:val="002E2293"/>
    <w:rsid w:val="0033716B"/>
    <w:rsid w:val="003371C4"/>
    <w:rsid w:val="0036422F"/>
    <w:rsid w:val="003676A9"/>
    <w:rsid w:val="00413233"/>
    <w:rsid w:val="00416673"/>
    <w:rsid w:val="00421AFD"/>
    <w:rsid w:val="00421B38"/>
    <w:rsid w:val="00461123"/>
    <w:rsid w:val="00494FF4"/>
    <w:rsid w:val="004B677C"/>
    <w:rsid w:val="004C18B6"/>
    <w:rsid w:val="004C4A77"/>
    <w:rsid w:val="004E7F66"/>
    <w:rsid w:val="00524635"/>
    <w:rsid w:val="005627D5"/>
    <w:rsid w:val="00564926"/>
    <w:rsid w:val="00564F67"/>
    <w:rsid w:val="005B738A"/>
    <w:rsid w:val="005C4A98"/>
    <w:rsid w:val="005E370C"/>
    <w:rsid w:val="00611D0B"/>
    <w:rsid w:val="00641036"/>
    <w:rsid w:val="0064737D"/>
    <w:rsid w:val="00657D65"/>
    <w:rsid w:val="00667081"/>
    <w:rsid w:val="006A0CF5"/>
    <w:rsid w:val="006A143C"/>
    <w:rsid w:val="006F43C7"/>
    <w:rsid w:val="00711467"/>
    <w:rsid w:val="007172F9"/>
    <w:rsid w:val="0072717A"/>
    <w:rsid w:val="00755266"/>
    <w:rsid w:val="0076105D"/>
    <w:rsid w:val="00762F44"/>
    <w:rsid w:val="007A2185"/>
    <w:rsid w:val="007C39A8"/>
    <w:rsid w:val="00852EB6"/>
    <w:rsid w:val="008E5791"/>
    <w:rsid w:val="008E7A4F"/>
    <w:rsid w:val="00911B8E"/>
    <w:rsid w:val="0092313E"/>
    <w:rsid w:val="0095108B"/>
    <w:rsid w:val="0096022A"/>
    <w:rsid w:val="00972B18"/>
    <w:rsid w:val="00984EB2"/>
    <w:rsid w:val="009F7008"/>
    <w:rsid w:val="00A01C54"/>
    <w:rsid w:val="00A237AE"/>
    <w:rsid w:val="00AB132E"/>
    <w:rsid w:val="00AC6C5A"/>
    <w:rsid w:val="00AE49C3"/>
    <w:rsid w:val="00AF7B4E"/>
    <w:rsid w:val="00B02D88"/>
    <w:rsid w:val="00B12216"/>
    <w:rsid w:val="00B75C9E"/>
    <w:rsid w:val="00BA537D"/>
    <w:rsid w:val="00BC5C86"/>
    <w:rsid w:val="00BC7231"/>
    <w:rsid w:val="00BC7691"/>
    <w:rsid w:val="00BD0A25"/>
    <w:rsid w:val="00BE5038"/>
    <w:rsid w:val="00C34442"/>
    <w:rsid w:val="00C64FBE"/>
    <w:rsid w:val="00C80D98"/>
    <w:rsid w:val="00C93D4C"/>
    <w:rsid w:val="00CB1E3B"/>
    <w:rsid w:val="00CC10D9"/>
    <w:rsid w:val="00CE3F12"/>
    <w:rsid w:val="00CE640E"/>
    <w:rsid w:val="00CF6A1A"/>
    <w:rsid w:val="00D55536"/>
    <w:rsid w:val="00D64823"/>
    <w:rsid w:val="00D67FAA"/>
    <w:rsid w:val="00D9167F"/>
    <w:rsid w:val="00DC3519"/>
    <w:rsid w:val="00DC56A1"/>
    <w:rsid w:val="00DE03D3"/>
    <w:rsid w:val="00DE7E50"/>
    <w:rsid w:val="00E05869"/>
    <w:rsid w:val="00E22931"/>
    <w:rsid w:val="00E33266"/>
    <w:rsid w:val="00E53E08"/>
    <w:rsid w:val="00EA0A15"/>
    <w:rsid w:val="00EE0CB7"/>
    <w:rsid w:val="00EE3B2A"/>
    <w:rsid w:val="00EF3C5A"/>
    <w:rsid w:val="00F25921"/>
    <w:rsid w:val="00FB0CB8"/>
    <w:rsid w:val="00FD178E"/>
    <w:rsid w:val="00FD40F8"/>
    <w:rsid w:val="00FE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22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221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B122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2216"/>
  </w:style>
  <w:style w:type="paragraph" w:styleId="Footer">
    <w:name w:val="footer"/>
    <w:basedOn w:val="Normal"/>
    <w:link w:val="FooterChar"/>
    <w:uiPriority w:val="99"/>
    <w:semiHidden/>
    <w:unhideWhenUsed/>
    <w:rsid w:val="00B1221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2216"/>
  </w:style>
  <w:style w:type="paragraph" w:styleId="Subtitle">
    <w:name w:val="Subtitle"/>
    <w:basedOn w:val="Normal"/>
    <w:next w:val="Normal"/>
    <w:link w:val="SubtitleChar"/>
    <w:uiPriority w:val="11"/>
    <w:qFormat/>
    <w:rsid w:val="00B122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2216"/>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B1221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2216"/>
    <w:pPr>
      <w:ind w:left="720"/>
      <w:contextualSpacing/>
    </w:pPr>
  </w:style>
  <w:style w:type="table" w:styleId="TableGrid">
    <w:name w:val="Table Grid"/>
    <w:basedOn w:val="TableNormal"/>
    <w:uiPriority w:val="59"/>
    <w:rsid w:val="007A218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1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38"/>
    <w:rPr>
      <w:rFonts w:ascii="Tahoma" w:hAnsi="Tahoma" w:cs="Tahoma"/>
      <w:sz w:val="16"/>
      <w:szCs w:val="16"/>
    </w:rPr>
  </w:style>
  <w:style w:type="paragraph" w:styleId="Caption">
    <w:name w:val="caption"/>
    <w:basedOn w:val="Normal"/>
    <w:next w:val="Normal"/>
    <w:uiPriority w:val="35"/>
    <w:unhideWhenUsed/>
    <w:qFormat/>
    <w:rsid w:val="00911B8E"/>
    <w:pPr>
      <w:spacing w:line="240" w:lineRule="auto"/>
      <w:jc w:val="both"/>
    </w:pPr>
    <w:rPr>
      <w:b/>
      <w:bCs/>
      <w:color w:val="4F81BD" w:themeColor="accent1"/>
      <w:sz w:val="18"/>
      <w:szCs w:val="18"/>
    </w:rPr>
  </w:style>
  <w:style w:type="character" w:styleId="Emphasis">
    <w:name w:val="Emphasis"/>
    <w:basedOn w:val="DefaultParagraphFont"/>
    <w:uiPriority w:val="20"/>
    <w:qFormat/>
    <w:rsid w:val="00494FF4"/>
    <w:rPr>
      <w:i/>
      <w:iCs/>
    </w:rPr>
  </w:style>
  <w:style w:type="character" w:styleId="Hyperlink">
    <w:name w:val="Hyperlink"/>
    <w:basedOn w:val="DefaultParagraphFont"/>
    <w:uiPriority w:val="99"/>
    <w:unhideWhenUsed/>
    <w:rsid w:val="00AF7B4E"/>
    <w:rPr>
      <w:color w:val="0000FF" w:themeColor="hyperlink"/>
      <w:u w:val="single"/>
    </w:rPr>
  </w:style>
  <w:style w:type="paragraph" w:styleId="FootnoteText">
    <w:name w:val="footnote text"/>
    <w:basedOn w:val="Normal"/>
    <w:link w:val="FootnoteTextChar"/>
    <w:uiPriority w:val="99"/>
    <w:semiHidden/>
    <w:unhideWhenUsed/>
    <w:rsid w:val="00852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EB6"/>
    <w:rPr>
      <w:sz w:val="20"/>
      <w:szCs w:val="20"/>
    </w:rPr>
  </w:style>
  <w:style w:type="character" w:styleId="FootnoteReference">
    <w:name w:val="footnote reference"/>
    <w:basedOn w:val="DefaultParagraphFont"/>
    <w:uiPriority w:val="99"/>
    <w:semiHidden/>
    <w:unhideWhenUsed/>
    <w:rsid w:val="00852EB6"/>
    <w:rPr>
      <w:vertAlign w:val="superscript"/>
    </w:rPr>
  </w:style>
  <w:style w:type="paragraph" w:customStyle="1" w:styleId="Default">
    <w:name w:val="Default"/>
    <w:rsid w:val="00B75C9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22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221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B122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2216"/>
  </w:style>
  <w:style w:type="paragraph" w:styleId="Footer">
    <w:name w:val="footer"/>
    <w:basedOn w:val="Normal"/>
    <w:link w:val="FooterChar"/>
    <w:uiPriority w:val="99"/>
    <w:semiHidden/>
    <w:unhideWhenUsed/>
    <w:rsid w:val="00B1221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2216"/>
  </w:style>
  <w:style w:type="paragraph" w:styleId="Subtitle">
    <w:name w:val="Subtitle"/>
    <w:basedOn w:val="Normal"/>
    <w:next w:val="Normal"/>
    <w:link w:val="SubtitleChar"/>
    <w:uiPriority w:val="11"/>
    <w:qFormat/>
    <w:rsid w:val="00B122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2216"/>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B1221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2216"/>
    <w:pPr>
      <w:ind w:left="720"/>
      <w:contextualSpacing/>
    </w:pPr>
  </w:style>
  <w:style w:type="table" w:styleId="TableGrid">
    <w:name w:val="Table Grid"/>
    <w:basedOn w:val="TableNormal"/>
    <w:uiPriority w:val="59"/>
    <w:rsid w:val="007A218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1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38"/>
    <w:rPr>
      <w:rFonts w:ascii="Tahoma" w:hAnsi="Tahoma" w:cs="Tahoma"/>
      <w:sz w:val="16"/>
      <w:szCs w:val="16"/>
    </w:rPr>
  </w:style>
  <w:style w:type="paragraph" w:styleId="Caption">
    <w:name w:val="caption"/>
    <w:basedOn w:val="Normal"/>
    <w:next w:val="Normal"/>
    <w:uiPriority w:val="35"/>
    <w:unhideWhenUsed/>
    <w:qFormat/>
    <w:rsid w:val="00911B8E"/>
    <w:pPr>
      <w:spacing w:line="240" w:lineRule="auto"/>
      <w:jc w:val="both"/>
    </w:pPr>
    <w:rPr>
      <w:b/>
      <w:bCs/>
      <w:color w:val="4F81BD" w:themeColor="accent1"/>
      <w:sz w:val="18"/>
      <w:szCs w:val="18"/>
    </w:rPr>
  </w:style>
  <w:style w:type="character" w:styleId="Emphasis">
    <w:name w:val="Emphasis"/>
    <w:basedOn w:val="DefaultParagraphFont"/>
    <w:uiPriority w:val="20"/>
    <w:qFormat/>
    <w:rsid w:val="00494FF4"/>
    <w:rPr>
      <w:i/>
      <w:iCs/>
    </w:rPr>
  </w:style>
  <w:style w:type="character" w:styleId="Hyperlink">
    <w:name w:val="Hyperlink"/>
    <w:basedOn w:val="DefaultParagraphFont"/>
    <w:uiPriority w:val="99"/>
    <w:unhideWhenUsed/>
    <w:rsid w:val="00AF7B4E"/>
    <w:rPr>
      <w:color w:val="0000FF" w:themeColor="hyperlink"/>
      <w:u w:val="single"/>
    </w:rPr>
  </w:style>
  <w:style w:type="paragraph" w:styleId="FootnoteText">
    <w:name w:val="footnote text"/>
    <w:basedOn w:val="Normal"/>
    <w:link w:val="FootnoteTextChar"/>
    <w:uiPriority w:val="99"/>
    <w:semiHidden/>
    <w:unhideWhenUsed/>
    <w:rsid w:val="00852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EB6"/>
    <w:rPr>
      <w:sz w:val="20"/>
      <w:szCs w:val="20"/>
    </w:rPr>
  </w:style>
  <w:style w:type="character" w:styleId="FootnoteReference">
    <w:name w:val="footnote reference"/>
    <w:basedOn w:val="DefaultParagraphFont"/>
    <w:uiPriority w:val="99"/>
    <w:semiHidden/>
    <w:unhideWhenUsed/>
    <w:rsid w:val="00852EB6"/>
    <w:rPr>
      <w:vertAlign w:val="superscript"/>
    </w:rPr>
  </w:style>
  <w:style w:type="paragraph" w:customStyle="1" w:styleId="Default">
    <w:name w:val="Default"/>
    <w:rsid w:val="00B75C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0947">
      <w:bodyDiv w:val="1"/>
      <w:marLeft w:val="0"/>
      <w:marRight w:val="0"/>
      <w:marTop w:val="0"/>
      <w:marBottom w:val="0"/>
      <w:divBdr>
        <w:top w:val="none" w:sz="0" w:space="0" w:color="auto"/>
        <w:left w:val="none" w:sz="0" w:space="0" w:color="auto"/>
        <w:bottom w:val="none" w:sz="0" w:space="0" w:color="auto"/>
        <w:right w:val="none" w:sz="0" w:space="0" w:color="auto"/>
      </w:divBdr>
    </w:div>
    <w:div w:id="150270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stem-sw.org.uk/higher-education-curriculum/hec-projects/?p=20&amp;pp=summary" TargetMode="External"/><Relationship Id="rId18" Type="http://schemas.openxmlformats.org/officeDocument/2006/relationships/hyperlink" Target="http://www.engineeringgateways.co.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estem.ac.uk/activity/enhancing-second-year-experience-undergraduate-mathematicians" TargetMode="External"/><Relationship Id="rId17" Type="http://schemas.openxmlformats.org/officeDocument/2006/relationships/hyperlink" Target="http://www.hestem.ac.uk/activity/deep-integration-first-year-engineering-programmes" TargetMode="External"/><Relationship Id="rId2" Type="http://schemas.openxmlformats.org/officeDocument/2006/relationships/numbering" Target="numbering.xml"/><Relationship Id="rId16" Type="http://schemas.openxmlformats.org/officeDocument/2006/relationships/hyperlink" Target="http://www.mdx.ac.uk/courses/undergraduate/product_design_engineering/PDE_industry_projects.aspx" TargetMode="External"/><Relationship Id="rId20" Type="http://schemas.openxmlformats.org/officeDocument/2006/relationships/hyperlink" Target="http://hestem-sw.org.uk/workforce-development/wfd-projects/?p=29&amp;pp=summ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jects.exeter.ac.uk/integrate/saca.html" TargetMode="External"/><Relationship Id="rId5" Type="http://schemas.openxmlformats.org/officeDocument/2006/relationships/settings" Target="settings.xml"/><Relationship Id="rId15" Type="http://schemas.openxmlformats.org/officeDocument/2006/relationships/hyperlink" Target="http://hestem-sw.org.uk/higher-education-curriculum/hec-projects/?p=36&amp;pp=summary" TargetMode="External"/><Relationship Id="rId23" Type="http://schemas.openxmlformats.org/officeDocument/2006/relationships/theme" Target="theme/theme1.xml"/><Relationship Id="rId10" Type="http://schemas.openxmlformats.org/officeDocument/2006/relationships/hyperlink" Target="http://as.exeter.ac.uk/support/educationenhancementprojects/current_projects/change/" TargetMode="External"/><Relationship Id="rId19" Type="http://schemas.openxmlformats.org/officeDocument/2006/relationships/hyperlink" Target="http://www.hestem.ac.uk/activity/professional-and-industrial-degrees-paid-shaping-curricula-through-improved-employer-engage"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reativestem.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Dawnimus\Documents\GBP\3.%20Developing%20a%20student-led%20employability%20toolkit%20-%20EMPLOYABILITY%20AUDIT%20-%20Regional\2011%20survey%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sz="1600" b="0"/>
            </a:pPr>
            <a:r>
              <a:rPr lang="en-GB" sz="1600" b="0"/>
              <a:t>Why University? (2011)</a:t>
            </a:r>
          </a:p>
        </c:rich>
      </c:tx>
      <c:layout/>
      <c:overlay val="0"/>
    </c:title>
    <c:autoTitleDeleted val="0"/>
    <c:plotArea>
      <c:layout/>
      <c:barChart>
        <c:barDir val="bar"/>
        <c:grouping val="percentStacked"/>
        <c:varyColors val="0"/>
        <c:ser>
          <c:idx val="3"/>
          <c:order val="0"/>
          <c:tx>
            <c:strRef>
              <c:f>'Data 1'!$A$99</c:f>
              <c:strCache>
                <c:ptCount val="1"/>
                <c:pt idx="0">
                  <c:v>Very important</c:v>
                </c:pt>
              </c:strCache>
            </c:strRef>
          </c:tx>
          <c:invertIfNegative val="0"/>
          <c:dLbls>
            <c:delete val="1"/>
          </c:dLbls>
          <c:cat>
            <c:strRef>
              <c:f>'Data 1'!$B$2:$K$2</c:f>
              <c:strCache>
                <c:ptCount val="10"/>
                <c:pt idx="0">
                  <c:v>I need a degree to get a good job</c:v>
                </c:pt>
                <c:pt idx="1">
                  <c:v>I want to continue studying</c:v>
                </c:pt>
                <c:pt idx="2">
                  <c:v>I'm interested in a particular course/subject</c:v>
                </c:pt>
                <c:pt idx="3">
                  <c:v>I'm looking forward to the social life</c:v>
                </c:pt>
                <c:pt idx="4">
                  <c:v>I need a particular qualification</c:v>
                </c:pt>
                <c:pt idx="5">
                  <c:v>My parents/guardians expected me to go</c:v>
                </c:pt>
                <c:pt idx="6">
                  <c:v>I want to get away from home</c:v>
                </c:pt>
                <c:pt idx="7">
                  <c:v>I don't want to get a job yet</c:v>
                </c:pt>
                <c:pt idx="8">
                  <c:v>I don't know what else to do</c:v>
                </c:pt>
                <c:pt idx="9">
                  <c:v>My teachers/tutors expected me to go</c:v>
                </c:pt>
              </c:strCache>
            </c:strRef>
          </c:cat>
          <c:val>
            <c:numRef>
              <c:f>'Data 1'!$B$99:$K$99</c:f>
              <c:numCache>
                <c:formatCode>General</c:formatCode>
                <c:ptCount val="10"/>
                <c:pt idx="0">
                  <c:v>59</c:v>
                </c:pt>
                <c:pt idx="1">
                  <c:v>34</c:v>
                </c:pt>
                <c:pt idx="2">
                  <c:v>43</c:v>
                </c:pt>
                <c:pt idx="3">
                  <c:v>31</c:v>
                </c:pt>
                <c:pt idx="4">
                  <c:v>14</c:v>
                </c:pt>
                <c:pt idx="5">
                  <c:v>8</c:v>
                </c:pt>
                <c:pt idx="6">
                  <c:v>2</c:v>
                </c:pt>
                <c:pt idx="7">
                  <c:v>10</c:v>
                </c:pt>
                <c:pt idx="8">
                  <c:v>7</c:v>
                </c:pt>
                <c:pt idx="9">
                  <c:v>2</c:v>
                </c:pt>
              </c:numCache>
            </c:numRef>
          </c:val>
        </c:ser>
        <c:ser>
          <c:idx val="2"/>
          <c:order val="1"/>
          <c:tx>
            <c:strRef>
              <c:f>'Data 1'!$A$98</c:f>
              <c:strCache>
                <c:ptCount val="1"/>
                <c:pt idx="0">
                  <c:v>Quite important</c:v>
                </c:pt>
              </c:strCache>
            </c:strRef>
          </c:tx>
          <c:invertIfNegative val="0"/>
          <c:dLbls>
            <c:delete val="1"/>
          </c:dLbls>
          <c:cat>
            <c:strRef>
              <c:f>'Data 1'!$B$2:$K$2</c:f>
              <c:strCache>
                <c:ptCount val="10"/>
                <c:pt idx="0">
                  <c:v>I need a degree to get a good job</c:v>
                </c:pt>
                <c:pt idx="1">
                  <c:v>I want to continue studying</c:v>
                </c:pt>
                <c:pt idx="2">
                  <c:v>I'm interested in a particular course/subject</c:v>
                </c:pt>
                <c:pt idx="3">
                  <c:v>I'm looking forward to the social life</c:v>
                </c:pt>
                <c:pt idx="4">
                  <c:v>I need a particular qualification</c:v>
                </c:pt>
                <c:pt idx="5">
                  <c:v>My parents/guardians expected me to go</c:v>
                </c:pt>
                <c:pt idx="6">
                  <c:v>I want to get away from home</c:v>
                </c:pt>
                <c:pt idx="7">
                  <c:v>I don't want to get a job yet</c:v>
                </c:pt>
                <c:pt idx="8">
                  <c:v>I don't know what else to do</c:v>
                </c:pt>
                <c:pt idx="9">
                  <c:v>My teachers/tutors expected me to go</c:v>
                </c:pt>
              </c:strCache>
            </c:strRef>
          </c:cat>
          <c:val>
            <c:numRef>
              <c:f>'Data 1'!$B$98:$K$98</c:f>
              <c:numCache>
                <c:formatCode>General</c:formatCode>
                <c:ptCount val="10"/>
                <c:pt idx="0">
                  <c:v>25</c:v>
                </c:pt>
                <c:pt idx="1">
                  <c:v>49</c:v>
                </c:pt>
                <c:pt idx="2">
                  <c:v>39</c:v>
                </c:pt>
                <c:pt idx="3">
                  <c:v>45</c:v>
                </c:pt>
                <c:pt idx="4">
                  <c:v>44</c:v>
                </c:pt>
                <c:pt idx="5">
                  <c:v>33</c:v>
                </c:pt>
                <c:pt idx="6">
                  <c:v>28</c:v>
                </c:pt>
                <c:pt idx="7">
                  <c:v>25</c:v>
                </c:pt>
                <c:pt idx="8">
                  <c:v>23</c:v>
                </c:pt>
                <c:pt idx="9">
                  <c:v>23</c:v>
                </c:pt>
              </c:numCache>
            </c:numRef>
          </c:val>
        </c:ser>
        <c:ser>
          <c:idx val="1"/>
          <c:order val="2"/>
          <c:tx>
            <c:strRef>
              <c:f>'Data 1'!$A$97</c:f>
              <c:strCache>
                <c:ptCount val="1"/>
                <c:pt idx="0">
                  <c:v>Not very important</c:v>
                </c:pt>
              </c:strCache>
            </c:strRef>
          </c:tx>
          <c:invertIfNegative val="0"/>
          <c:dLbls>
            <c:delete val="1"/>
          </c:dLbls>
          <c:cat>
            <c:strRef>
              <c:f>'Data 1'!$B$2:$K$2</c:f>
              <c:strCache>
                <c:ptCount val="10"/>
                <c:pt idx="0">
                  <c:v>I need a degree to get a good job</c:v>
                </c:pt>
                <c:pt idx="1">
                  <c:v>I want to continue studying</c:v>
                </c:pt>
                <c:pt idx="2">
                  <c:v>I'm interested in a particular course/subject</c:v>
                </c:pt>
                <c:pt idx="3">
                  <c:v>I'm looking forward to the social life</c:v>
                </c:pt>
                <c:pt idx="4">
                  <c:v>I need a particular qualification</c:v>
                </c:pt>
                <c:pt idx="5">
                  <c:v>My parents/guardians expected me to go</c:v>
                </c:pt>
                <c:pt idx="6">
                  <c:v>I want to get away from home</c:v>
                </c:pt>
                <c:pt idx="7">
                  <c:v>I don't want to get a job yet</c:v>
                </c:pt>
                <c:pt idx="8">
                  <c:v>I don't know what else to do</c:v>
                </c:pt>
                <c:pt idx="9">
                  <c:v>My teachers/tutors expected me to go</c:v>
                </c:pt>
              </c:strCache>
            </c:strRef>
          </c:cat>
          <c:val>
            <c:numRef>
              <c:f>'Data 1'!$B$97:$K$97</c:f>
              <c:numCache>
                <c:formatCode>General</c:formatCode>
                <c:ptCount val="10"/>
                <c:pt idx="0">
                  <c:v>3</c:v>
                </c:pt>
                <c:pt idx="1">
                  <c:v>3</c:v>
                </c:pt>
                <c:pt idx="2">
                  <c:v>3</c:v>
                </c:pt>
                <c:pt idx="3">
                  <c:v>8</c:v>
                </c:pt>
                <c:pt idx="4">
                  <c:v>24</c:v>
                </c:pt>
                <c:pt idx="5">
                  <c:v>29</c:v>
                </c:pt>
                <c:pt idx="6">
                  <c:v>36</c:v>
                </c:pt>
                <c:pt idx="7">
                  <c:v>27</c:v>
                </c:pt>
                <c:pt idx="8">
                  <c:v>34</c:v>
                </c:pt>
                <c:pt idx="9">
                  <c:v>30</c:v>
                </c:pt>
              </c:numCache>
            </c:numRef>
          </c:val>
        </c:ser>
        <c:ser>
          <c:idx val="0"/>
          <c:order val="3"/>
          <c:tx>
            <c:strRef>
              <c:f>'Data 1'!$A$96</c:f>
              <c:strCache>
                <c:ptCount val="1"/>
                <c:pt idx="0">
                  <c:v>Not at all important</c:v>
                </c:pt>
              </c:strCache>
            </c:strRef>
          </c:tx>
          <c:invertIfNegative val="0"/>
          <c:dLbls>
            <c:delete val="1"/>
          </c:dLbls>
          <c:cat>
            <c:strRef>
              <c:f>'Data 1'!$B$2:$K$2</c:f>
              <c:strCache>
                <c:ptCount val="10"/>
                <c:pt idx="0">
                  <c:v>I need a degree to get a good job</c:v>
                </c:pt>
                <c:pt idx="1">
                  <c:v>I want to continue studying</c:v>
                </c:pt>
                <c:pt idx="2">
                  <c:v>I'm interested in a particular course/subject</c:v>
                </c:pt>
                <c:pt idx="3">
                  <c:v>I'm looking forward to the social life</c:v>
                </c:pt>
                <c:pt idx="4">
                  <c:v>I need a particular qualification</c:v>
                </c:pt>
                <c:pt idx="5">
                  <c:v>My parents/guardians expected me to go</c:v>
                </c:pt>
                <c:pt idx="6">
                  <c:v>I want to get away from home</c:v>
                </c:pt>
                <c:pt idx="7">
                  <c:v>I don't want to get a job yet</c:v>
                </c:pt>
                <c:pt idx="8">
                  <c:v>I don't know what else to do</c:v>
                </c:pt>
                <c:pt idx="9">
                  <c:v>My teachers/tutors expected me to go</c:v>
                </c:pt>
              </c:strCache>
            </c:strRef>
          </c:cat>
          <c:val>
            <c:numRef>
              <c:f>'Data 1'!$B$96:$K$96</c:f>
              <c:numCache>
                <c:formatCode>General</c:formatCode>
                <c:ptCount val="10"/>
                <c:pt idx="0">
                  <c:v>0</c:v>
                </c:pt>
                <c:pt idx="1">
                  <c:v>0</c:v>
                </c:pt>
                <c:pt idx="2">
                  <c:v>0</c:v>
                </c:pt>
                <c:pt idx="3">
                  <c:v>2</c:v>
                </c:pt>
                <c:pt idx="4">
                  <c:v>4</c:v>
                </c:pt>
                <c:pt idx="5">
                  <c:v>16</c:v>
                </c:pt>
                <c:pt idx="6">
                  <c:v>20</c:v>
                </c:pt>
                <c:pt idx="7">
                  <c:v>24</c:v>
                </c:pt>
                <c:pt idx="8">
                  <c:v>22</c:v>
                </c:pt>
                <c:pt idx="9">
                  <c:v>30</c:v>
                </c:pt>
              </c:numCache>
            </c:numRef>
          </c:val>
        </c:ser>
        <c:dLbls>
          <c:showLegendKey val="0"/>
          <c:showVal val="1"/>
          <c:showCatName val="0"/>
          <c:showSerName val="0"/>
          <c:showPercent val="0"/>
          <c:showBubbleSize val="0"/>
        </c:dLbls>
        <c:gapWidth val="75"/>
        <c:overlap val="100"/>
        <c:axId val="24842624"/>
        <c:axId val="24844160"/>
      </c:barChart>
      <c:catAx>
        <c:axId val="24842624"/>
        <c:scaling>
          <c:orientation val="minMax"/>
        </c:scaling>
        <c:delete val="0"/>
        <c:axPos val="l"/>
        <c:majorTickMark val="none"/>
        <c:minorTickMark val="none"/>
        <c:tickLblPos val="nextTo"/>
        <c:crossAx val="24844160"/>
        <c:crosses val="autoZero"/>
        <c:auto val="1"/>
        <c:lblAlgn val="ctr"/>
        <c:lblOffset val="100"/>
        <c:noMultiLvlLbl val="0"/>
      </c:catAx>
      <c:valAx>
        <c:axId val="24844160"/>
        <c:scaling>
          <c:orientation val="minMax"/>
        </c:scaling>
        <c:delete val="0"/>
        <c:axPos val="b"/>
        <c:title>
          <c:tx>
            <c:rich>
              <a:bodyPr/>
              <a:lstStyle/>
              <a:p>
                <a:pPr>
                  <a:defRPr/>
                </a:pPr>
                <a:r>
                  <a:rPr lang="en-GB"/>
                  <a:t>Proportion of respondents</a:t>
                </a:r>
              </a:p>
            </c:rich>
          </c:tx>
          <c:layout/>
          <c:overlay val="0"/>
        </c:title>
        <c:numFmt formatCode="0%" sourceLinked="1"/>
        <c:majorTickMark val="none"/>
        <c:minorTickMark val="none"/>
        <c:tickLblPos val="nextTo"/>
        <c:crossAx val="24842624"/>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15C69-3F8C-4525-BC1C-7444FEA7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32A4A6B7.dotm</Template>
  <TotalTime>0</TotalTime>
  <Pages>9</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dc:creator>
  <cp:lastModifiedBy>Sarah Chatwin</cp:lastModifiedBy>
  <cp:revision>2</cp:revision>
  <dcterms:created xsi:type="dcterms:W3CDTF">2012-02-28T16:28:00Z</dcterms:created>
  <dcterms:modified xsi:type="dcterms:W3CDTF">2012-02-28T16:28:00Z</dcterms:modified>
</cp:coreProperties>
</file>